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715DD" w14:textId="0BD23F6B" w:rsidR="00793030" w:rsidRPr="00AC76D0" w:rsidRDefault="00793030" w:rsidP="00793030">
      <w:pPr>
        <w:spacing w:after="0"/>
        <w:rPr>
          <w:rFonts w:ascii="Book Antiqua" w:hAnsi="Book Antiqua"/>
        </w:rPr>
      </w:pPr>
    </w:p>
    <w:p w14:paraId="67FE929A" w14:textId="77777777" w:rsidR="00793030" w:rsidRPr="00AC76D0" w:rsidRDefault="00793030" w:rsidP="00793030">
      <w:pPr>
        <w:spacing w:after="0"/>
        <w:rPr>
          <w:rFonts w:ascii="Book Antiqua" w:hAnsi="Book Antiqua"/>
        </w:rPr>
      </w:pPr>
    </w:p>
    <w:p w14:paraId="2C4B1D8D" w14:textId="77777777" w:rsidR="00793030" w:rsidRPr="00AC76D0" w:rsidRDefault="00793030" w:rsidP="00793030">
      <w:pPr>
        <w:spacing w:after="0"/>
        <w:rPr>
          <w:rFonts w:ascii="Book Antiqua" w:hAnsi="Book Antiqua"/>
        </w:rPr>
      </w:pPr>
    </w:p>
    <w:p w14:paraId="58B96A83" w14:textId="77777777" w:rsidR="00793030" w:rsidRPr="00AC76D0" w:rsidRDefault="0010051E" w:rsidP="00793030">
      <w:pPr>
        <w:spacing w:after="0"/>
        <w:rPr>
          <w:rFonts w:ascii="Book Antiqua" w:hAnsi="Book Antiqua"/>
        </w:rPr>
      </w:pPr>
      <w:r w:rsidRPr="00AC76D0">
        <w:rPr>
          <w:rFonts w:ascii="Book Antiqua" w:hAnsi="Book Antiqua"/>
          <w:noProof/>
        </w:rPr>
        <w:drawing>
          <wp:anchor distT="0" distB="0" distL="114300" distR="114300" simplePos="0" relativeHeight="251660800" behindDoc="0" locked="0" layoutInCell="1" allowOverlap="1" wp14:anchorId="25943ABE" wp14:editId="429E5760">
            <wp:simplePos x="0" y="0"/>
            <wp:positionH relativeFrom="column">
              <wp:posOffset>391211</wp:posOffset>
            </wp:positionH>
            <wp:positionV relativeFrom="paragraph">
              <wp:posOffset>154026</wp:posOffset>
            </wp:positionV>
            <wp:extent cx="5400675" cy="31908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recento AM.jpg"/>
                    <pic:cNvPicPr/>
                  </pic:nvPicPr>
                  <pic:blipFill>
                    <a:blip r:embed="rId8"/>
                    <a:stretch>
                      <a:fillRect/>
                    </a:stretch>
                  </pic:blipFill>
                  <pic:spPr>
                    <a:xfrm>
                      <a:off x="0" y="0"/>
                      <a:ext cx="5400675" cy="3190875"/>
                    </a:xfrm>
                    <a:prstGeom prst="rect">
                      <a:avLst/>
                    </a:prstGeom>
                  </pic:spPr>
                </pic:pic>
              </a:graphicData>
            </a:graphic>
            <wp14:sizeRelH relativeFrom="page">
              <wp14:pctWidth>0</wp14:pctWidth>
            </wp14:sizeRelH>
            <wp14:sizeRelV relativeFrom="page">
              <wp14:pctHeight>0</wp14:pctHeight>
            </wp14:sizeRelV>
          </wp:anchor>
        </w:drawing>
      </w:r>
    </w:p>
    <w:p w14:paraId="5C37F795" w14:textId="77777777" w:rsidR="00793030" w:rsidRPr="00AC76D0" w:rsidRDefault="00793030" w:rsidP="00793030">
      <w:pPr>
        <w:jc w:val="center"/>
        <w:rPr>
          <w:rFonts w:ascii="Book Antiqua" w:hAnsi="Book Antiqua"/>
          <w:b/>
          <w:sz w:val="32"/>
          <w:szCs w:val="32"/>
        </w:rPr>
      </w:pPr>
    </w:p>
    <w:p w14:paraId="6A2200B8" w14:textId="77777777" w:rsidR="00793030" w:rsidRPr="00AC76D0" w:rsidRDefault="00793030" w:rsidP="00793030">
      <w:pPr>
        <w:jc w:val="center"/>
        <w:rPr>
          <w:rFonts w:ascii="Book Antiqua" w:hAnsi="Book Antiqua"/>
          <w:b/>
          <w:sz w:val="32"/>
          <w:szCs w:val="32"/>
        </w:rPr>
      </w:pPr>
    </w:p>
    <w:p w14:paraId="35827AC5" w14:textId="77777777" w:rsidR="00793030" w:rsidRPr="00AC76D0" w:rsidRDefault="00793030" w:rsidP="00793030">
      <w:pPr>
        <w:jc w:val="center"/>
        <w:rPr>
          <w:rFonts w:ascii="Book Antiqua" w:hAnsi="Book Antiqua"/>
          <w:b/>
          <w:sz w:val="32"/>
          <w:szCs w:val="32"/>
        </w:rPr>
      </w:pPr>
    </w:p>
    <w:p w14:paraId="69ACAEEE" w14:textId="77777777" w:rsidR="00793030" w:rsidRPr="00AC76D0" w:rsidRDefault="00793030" w:rsidP="00793030">
      <w:pPr>
        <w:jc w:val="center"/>
        <w:rPr>
          <w:rFonts w:ascii="Book Antiqua" w:hAnsi="Book Antiqua"/>
          <w:b/>
          <w:sz w:val="32"/>
          <w:szCs w:val="32"/>
        </w:rPr>
      </w:pPr>
    </w:p>
    <w:p w14:paraId="7AE9F923" w14:textId="77777777" w:rsidR="00B47517" w:rsidRPr="00AC76D0" w:rsidRDefault="00B47517" w:rsidP="00793030">
      <w:pPr>
        <w:jc w:val="center"/>
        <w:rPr>
          <w:rFonts w:ascii="Book Antiqua" w:hAnsi="Book Antiqua"/>
          <w:b/>
          <w:sz w:val="32"/>
          <w:szCs w:val="32"/>
        </w:rPr>
      </w:pPr>
    </w:p>
    <w:p w14:paraId="7D079BF0" w14:textId="77777777" w:rsidR="0010051E" w:rsidRPr="00AC76D0" w:rsidRDefault="0010051E">
      <w:pPr>
        <w:jc w:val="center"/>
        <w:rPr>
          <w:rFonts w:ascii="Book Antiqua" w:hAnsi="Book Antiqua"/>
          <w:b/>
          <w:color w:val="948A54"/>
          <w:sz w:val="72"/>
          <w:szCs w:val="72"/>
        </w:rPr>
      </w:pPr>
    </w:p>
    <w:p w14:paraId="27F63981" w14:textId="77777777" w:rsidR="0010051E" w:rsidRPr="00AC76D0" w:rsidRDefault="0010051E">
      <w:pPr>
        <w:jc w:val="center"/>
        <w:rPr>
          <w:rFonts w:ascii="Book Antiqua" w:hAnsi="Book Antiqua"/>
          <w:b/>
          <w:color w:val="948A54"/>
          <w:sz w:val="72"/>
          <w:szCs w:val="72"/>
        </w:rPr>
      </w:pPr>
    </w:p>
    <w:p w14:paraId="69796010" w14:textId="77777777" w:rsidR="0010051E" w:rsidRPr="00AC76D0" w:rsidRDefault="0010051E">
      <w:pPr>
        <w:jc w:val="center"/>
        <w:rPr>
          <w:rFonts w:ascii="Book Antiqua" w:hAnsi="Book Antiqua"/>
          <w:b/>
          <w:color w:val="948A54"/>
          <w:sz w:val="72"/>
          <w:szCs w:val="72"/>
        </w:rPr>
      </w:pPr>
    </w:p>
    <w:p w14:paraId="49C8FFC5" w14:textId="443C1255" w:rsidR="00A967B9" w:rsidRPr="00AC76D0" w:rsidRDefault="00543D56" w:rsidP="009278E2">
      <w:pPr>
        <w:jc w:val="center"/>
        <w:rPr>
          <w:rFonts w:ascii="Book Antiqua" w:hAnsi="Book Antiqua"/>
          <w:b/>
          <w:color w:val="948A54"/>
          <w:sz w:val="72"/>
          <w:szCs w:val="72"/>
        </w:rPr>
      </w:pPr>
      <w:r w:rsidRPr="00AC76D0">
        <w:rPr>
          <w:rFonts w:ascii="Book Antiqua" w:hAnsi="Book Antiqua"/>
          <w:b/>
          <w:color w:val="948A54"/>
          <w:sz w:val="72"/>
          <w:szCs w:val="72"/>
        </w:rPr>
        <w:t xml:space="preserve">Reporting de </w:t>
      </w:r>
      <w:r w:rsidR="003C7E30" w:rsidRPr="00AC76D0">
        <w:rPr>
          <w:rFonts w:ascii="Book Antiqua" w:hAnsi="Book Antiqua"/>
          <w:b/>
          <w:color w:val="948A54"/>
          <w:sz w:val="72"/>
          <w:szCs w:val="72"/>
        </w:rPr>
        <w:t>P</w:t>
      </w:r>
      <w:r w:rsidRPr="00AC76D0">
        <w:rPr>
          <w:rFonts w:ascii="Book Antiqua" w:hAnsi="Book Antiqua"/>
          <w:b/>
          <w:color w:val="948A54"/>
          <w:sz w:val="72"/>
          <w:szCs w:val="72"/>
        </w:rPr>
        <w:t>erformance</w:t>
      </w:r>
      <w:r w:rsidR="00341EBC" w:rsidRPr="00AC76D0">
        <w:rPr>
          <w:rFonts w:ascii="Book Antiqua" w:hAnsi="Book Antiqua"/>
          <w:b/>
          <w:color w:val="948A54"/>
          <w:sz w:val="72"/>
          <w:szCs w:val="72"/>
        </w:rPr>
        <w:t xml:space="preserve"> ESG et </w:t>
      </w:r>
      <w:r w:rsidRPr="00AC76D0">
        <w:rPr>
          <w:rFonts w:ascii="Book Antiqua" w:hAnsi="Book Antiqua"/>
          <w:b/>
          <w:color w:val="948A54"/>
          <w:sz w:val="72"/>
          <w:szCs w:val="72"/>
        </w:rPr>
        <w:t>Climat</w:t>
      </w:r>
    </w:p>
    <w:p w14:paraId="3C9A3C5B" w14:textId="77777777" w:rsidR="00341EBC" w:rsidRPr="00AC76D0" w:rsidRDefault="00341EBC" w:rsidP="009278E2">
      <w:pPr>
        <w:jc w:val="center"/>
        <w:rPr>
          <w:rFonts w:ascii="Book Antiqua" w:hAnsi="Book Antiqua"/>
          <w:b/>
          <w:color w:val="948A54"/>
          <w:sz w:val="72"/>
          <w:szCs w:val="72"/>
        </w:rPr>
      </w:pPr>
    </w:p>
    <w:p w14:paraId="55F0730B" w14:textId="64BB2FFA" w:rsidR="00793030" w:rsidRPr="00AC76D0" w:rsidRDefault="00A967B9" w:rsidP="00793030">
      <w:pPr>
        <w:jc w:val="center"/>
        <w:rPr>
          <w:rFonts w:ascii="Book Antiqua" w:hAnsi="Book Antiqua"/>
          <w:b/>
          <w:sz w:val="36"/>
          <w:szCs w:val="36"/>
        </w:rPr>
      </w:pPr>
      <w:r w:rsidRPr="00AC76D0">
        <w:rPr>
          <w:rFonts w:ascii="Book Antiqua" w:hAnsi="Book Antiqua"/>
          <w:b/>
          <w:sz w:val="36"/>
          <w:szCs w:val="36"/>
        </w:rPr>
        <w:t>Trecento Santé</w:t>
      </w:r>
      <w:r w:rsidR="00341EBC" w:rsidRPr="00AC76D0">
        <w:rPr>
          <w:rFonts w:ascii="Book Antiqua" w:hAnsi="Book Antiqua"/>
          <w:b/>
          <w:sz w:val="36"/>
          <w:szCs w:val="36"/>
        </w:rPr>
        <w:t xml:space="preserve"> ISR</w:t>
      </w:r>
    </w:p>
    <w:p w14:paraId="2C275688" w14:textId="07B3456D" w:rsidR="00A967B9" w:rsidRPr="00AC76D0" w:rsidRDefault="00A967B9" w:rsidP="00793030">
      <w:pPr>
        <w:jc w:val="center"/>
        <w:rPr>
          <w:rFonts w:ascii="Book Antiqua" w:hAnsi="Book Antiqua"/>
          <w:b/>
          <w:sz w:val="36"/>
          <w:szCs w:val="36"/>
        </w:rPr>
      </w:pPr>
      <w:r w:rsidRPr="00AC76D0">
        <w:rPr>
          <w:rFonts w:ascii="Book Antiqua" w:hAnsi="Book Antiqua"/>
          <w:b/>
          <w:sz w:val="36"/>
          <w:szCs w:val="36"/>
        </w:rPr>
        <w:t>Trecento Robotique</w:t>
      </w:r>
      <w:r w:rsidR="00D05FAA" w:rsidRPr="00AC76D0">
        <w:rPr>
          <w:rFonts w:ascii="Book Antiqua" w:hAnsi="Book Antiqua"/>
          <w:b/>
          <w:sz w:val="36"/>
          <w:szCs w:val="36"/>
        </w:rPr>
        <w:t xml:space="preserve"> ISR</w:t>
      </w:r>
    </w:p>
    <w:p w14:paraId="0DA55A25" w14:textId="77777777" w:rsidR="00A967B9" w:rsidRPr="00AC76D0" w:rsidRDefault="00A967B9" w:rsidP="00793030">
      <w:pPr>
        <w:jc w:val="center"/>
        <w:rPr>
          <w:rFonts w:ascii="Book Antiqua" w:hAnsi="Book Antiqua"/>
          <w:i/>
          <w:highlight w:val="lightGray"/>
        </w:rPr>
      </w:pPr>
    </w:p>
    <w:p w14:paraId="047A505B" w14:textId="65E40921" w:rsidR="00793030" w:rsidRPr="00AC76D0" w:rsidRDefault="00793030" w:rsidP="00793030">
      <w:pPr>
        <w:jc w:val="center"/>
        <w:rPr>
          <w:rFonts w:ascii="Book Antiqua" w:hAnsi="Book Antiqua"/>
          <w:i/>
        </w:rPr>
      </w:pPr>
      <w:r w:rsidRPr="00AC76D0">
        <w:rPr>
          <w:rFonts w:ascii="Book Antiqua" w:hAnsi="Book Antiqua"/>
          <w:i/>
        </w:rPr>
        <w:t>OPCVM relevant de la Directive 2009/65/CE</w:t>
      </w:r>
    </w:p>
    <w:p w14:paraId="783F317E" w14:textId="25CE0553" w:rsidR="00CE75C3" w:rsidRPr="00AC76D0" w:rsidRDefault="00AC76D0" w:rsidP="00793030">
      <w:pPr>
        <w:jc w:val="center"/>
        <w:rPr>
          <w:rFonts w:ascii="Book Antiqua" w:hAnsi="Book Antiqua"/>
          <w:i/>
        </w:rPr>
      </w:pPr>
      <w:r w:rsidRPr="00AC76D0">
        <w:rPr>
          <w:rFonts w:ascii="Book Antiqua" w:hAnsi="Book Antiqua"/>
          <w:i/>
        </w:rPr>
        <w:t>Informations à jour au 26/01/2022</w:t>
      </w:r>
    </w:p>
    <w:p w14:paraId="636960FD" w14:textId="77777777" w:rsidR="00793030" w:rsidRPr="00AC76D0" w:rsidRDefault="00793030" w:rsidP="00793030">
      <w:pPr>
        <w:rPr>
          <w:rFonts w:ascii="Book Antiqua" w:hAnsi="Book Antiqua"/>
        </w:rPr>
      </w:pPr>
    </w:p>
    <w:p w14:paraId="2103D5DD" w14:textId="77777777" w:rsidR="00EA00ED" w:rsidRPr="00AC76D0" w:rsidRDefault="00EA00ED" w:rsidP="00EA00ED">
      <w:pPr>
        <w:rPr>
          <w:rFonts w:ascii="Book Antiqua" w:hAnsi="Book Antiqua"/>
          <w:b/>
          <w:sz w:val="24"/>
          <w:szCs w:val="24"/>
        </w:rPr>
      </w:pPr>
      <w:r w:rsidRPr="00AC76D0">
        <w:rPr>
          <w:rFonts w:ascii="Book Antiqua" w:hAnsi="Book Antiqua"/>
          <w:b/>
          <w:color w:val="948A54"/>
          <w:sz w:val="32"/>
          <w:szCs w:val="32"/>
        </w:rPr>
        <w:lastRenderedPageBreak/>
        <w:t>Préambule</w:t>
      </w:r>
      <w:r w:rsidRPr="00AC76D0">
        <w:rPr>
          <w:rFonts w:ascii="Book Antiqua" w:hAnsi="Book Antiqua"/>
          <w:b/>
          <w:color w:val="CC0000"/>
          <w:sz w:val="32"/>
          <w:szCs w:val="32"/>
        </w:rPr>
        <w:br/>
      </w:r>
    </w:p>
    <w:p w14:paraId="2B304AE4" w14:textId="77777777" w:rsidR="00EA00ED" w:rsidRPr="00AC76D0" w:rsidRDefault="00EA00ED" w:rsidP="00EA00ED">
      <w:pPr>
        <w:jc w:val="both"/>
        <w:rPr>
          <w:rFonts w:ascii="Book Antiqua" w:hAnsi="Book Antiqua"/>
          <w:bCs/>
          <w:sz w:val="24"/>
          <w:szCs w:val="24"/>
        </w:rPr>
      </w:pPr>
      <w:r w:rsidRPr="00AC76D0">
        <w:rPr>
          <w:rFonts w:ascii="Book Antiqua" w:hAnsi="Book Antiqua"/>
          <w:bCs/>
          <w:sz w:val="24"/>
          <w:szCs w:val="24"/>
        </w:rPr>
        <w:t>Les mutations économiques, sociétales et climatiques obligent aujourd’hui l’ensemble des parties prenantes (investisseurs, émetteurs, régulateurs, pouvoirs publics, ONG…) à une responsabilisation et à une prise de conscience collective en matière de politique d’investissement durable.</w:t>
      </w:r>
    </w:p>
    <w:p w14:paraId="76B5CADE" w14:textId="77777777" w:rsidR="00EA00ED" w:rsidRPr="00AC76D0" w:rsidRDefault="00EA00ED" w:rsidP="00EA00ED">
      <w:pPr>
        <w:jc w:val="both"/>
        <w:rPr>
          <w:rFonts w:ascii="Book Antiqua" w:hAnsi="Book Antiqua"/>
          <w:bCs/>
          <w:sz w:val="24"/>
          <w:szCs w:val="24"/>
        </w:rPr>
      </w:pPr>
      <w:r w:rsidRPr="00AC76D0">
        <w:rPr>
          <w:rFonts w:ascii="Book Antiqua" w:hAnsi="Book Antiqua"/>
          <w:bCs/>
          <w:sz w:val="24"/>
          <w:szCs w:val="24"/>
        </w:rPr>
        <w:t>Depuis la création de Trecento AM en 2011, l’analyse des aspects de la gouvernance des émetteurs a fait partie intégrante de la méthodologie d’analyse fondamentale. Pour approfondir son approche d’investisseur responsable de long terme, Trecento AM a décidé dès 2015 de formaliser une démarche en ce sens en devenant signataire des Principes pour l’Investissement Responsable (PRI), impliquant de fait un engagement d’information et de prise en compte des facteurs ESG dans le processus décisionnel de sélection des investissements. Les PRI complètent le Pacte mondial des Nations Unies, lequel invite les entreprises à intégrer dans leurs activités et leurs stratégies un éventail de principes universels relatifs aux droits humains, au droit du travail, à l’environnement et à la lutte contre la corruption.</w:t>
      </w:r>
    </w:p>
    <w:p w14:paraId="37348FC6" w14:textId="5D5FF7C8" w:rsidR="00EA00ED" w:rsidRPr="00AC76D0" w:rsidRDefault="00EA00ED" w:rsidP="00EA00ED">
      <w:pPr>
        <w:jc w:val="both"/>
        <w:rPr>
          <w:rFonts w:ascii="Book Antiqua" w:hAnsi="Book Antiqua"/>
          <w:bCs/>
          <w:sz w:val="24"/>
          <w:szCs w:val="24"/>
        </w:rPr>
      </w:pPr>
      <w:r w:rsidRPr="00AC76D0">
        <w:rPr>
          <w:rFonts w:ascii="Book Antiqua" w:hAnsi="Book Antiqua"/>
          <w:bCs/>
          <w:sz w:val="24"/>
          <w:szCs w:val="24"/>
        </w:rPr>
        <w:t xml:space="preserve">En 2019, Trecento AM a décidé de renforcer sa démarche d’intégration et d’analyse ESG afin de proposer des produits d’épargne socialement responsables et labellisés ISR à ses clients. L’ISR est un placement qui vise à concilier performance économique et impact social et environnemental en finançant les entreprises et les entités publiques qui contribuent au développement durable quel que soit leur secteur d’activité. En influençant la gouvernance et le comportement des acteurs, l’ISR favorise une économie responsable. </w:t>
      </w:r>
    </w:p>
    <w:p w14:paraId="6DE0C7B9" w14:textId="77777777" w:rsidR="002C00BC" w:rsidRPr="00AC76D0" w:rsidRDefault="002C00BC" w:rsidP="002C00BC">
      <w:pPr>
        <w:jc w:val="both"/>
        <w:rPr>
          <w:rFonts w:ascii="Book Antiqua" w:hAnsi="Book Antiqua"/>
          <w:bCs/>
          <w:sz w:val="24"/>
          <w:szCs w:val="24"/>
        </w:rPr>
      </w:pPr>
      <w:r w:rsidRPr="00AC76D0">
        <w:rPr>
          <w:rFonts w:ascii="Book Antiqua" w:hAnsi="Book Antiqua"/>
          <w:bCs/>
          <w:sz w:val="24"/>
          <w:szCs w:val="24"/>
        </w:rPr>
        <w:t>Les fonds Trecento Santé ISR et Trecento Robotique ISR ont obtenu le Label ISR le 6 mars 2020.</w:t>
      </w:r>
    </w:p>
    <w:p w14:paraId="767C72C5" w14:textId="66CE7A84" w:rsidR="00EA00ED" w:rsidRPr="00AC76D0" w:rsidRDefault="00EA00ED" w:rsidP="00EA00ED">
      <w:pPr>
        <w:jc w:val="both"/>
        <w:rPr>
          <w:rFonts w:ascii="Book Antiqua" w:hAnsi="Book Antiqua"/>
          <w:bCs/>
          <w:sz w:val="24"/>
          <w:szCs w:val="24"/>
        </w:rPr>
      </w:pPr>
      <w:r w:rsidRPr="00AC76D0">
        <w:rPr>
          <w:rFonts w:ascii="Book Antiqua" w:hAnsi="Book Antiqua"/>
          <w:bCs/>
          <w:sz w:val="24"/>
          <w:szCs w:val="24"/>
        </w:rPr>
        <w:t xml:space="preserve">Ce document a pour objectif </w:t>
      </w:r>
      <w:r w:rsidR="003C7E30" w:rsidRPr="00AC76D0">
        <w:rPr>
          <w:rFonts w:ascii="Book Antiqua" w:hAnsi="Book Antiqua"/>
          <w:bCs/>
          <w:sz w:val="24"/>
          <w:szCs w:val="24"/>
        </w:rPr>
        <w:t>d’</w:t>
      </w:r>
      <w:r w:rsidRPr="00AC76D0">
        <w:rPr>
          <w:rFonts w:ascii="Book Antiqua" w:hAnsi="Book Antiqua"/>
          <w:bCs/>
          <w:sz w:val="24"/>
          <w:szCs w:val="24"/>
        </w:rPr>
        <w:t xml:space="preserve">informer nos parties prenantes </w:t>
      </w:r>
      <w:r w:rsidR="003F1E1C" w:rsidRPr="00AC76D0">
        <w:rPr>
          <w:rFonts w:ascii="Book Antiqua" w:hAnsi="Book Antiqua"/>
          <w:bCs/>
          <w:sz w:val="24"/>
          <w:szCs w:val="24"/>
        </w:rPr>
        <w:t>sur la mesure des impacts positifs de la gestion ESG sur le développement d’une économie durable</w:t>
      </w:r>
      <w:r w:rsidRPr="00AC76D0">
        <w:rPr>
          <w:rFonts w:ascii="Book Antiqua" w:hAnsi="Book Antiqua"/>
          <w:bCs/>
          <w:sz w:val="24"/>
          <w:szCs w:val="24"/>
        </w:rPr>
        <w:t xml:space="preserve">, conformément aux exigences de transparence du label ISR. </w:t>
      </w:r>
    </w:p>
    <w:p w14:paraId="1F4BF996" w14:textId="4B81F0C0" w:rsidR="00EA00ED" w:rsidRPr="00AC76D0" w:rsidRDefault="00EA00ED" w:rsidP="00EA00ED">
      <w:pPr>
        <w:jc w:val="both"/>
        <w:rPr>
          <w:rStyle w:val="Lienhypertexte"/>
          <w:rFonts w:ascii="Book Antiqua" w:hAnsi="Book Antiqua"/>
          <w:bCs/>
          <w:sz w:val="24"/>
          <w:szCs w:val="24"/>
        </w:rPr>
      </w:pPr>
      <w:r w:rsidRPr="00AC76D0">
        <w:rPr>
          <w:rFonts w:ascii="Book Antiqua" w:hAnsi="Book Antiqua"/>
          <w:bCs/>
          <w:sz w:val="24"/>
          <w:szCs w:val="24"/>
        </w:rPr>
        <w:t>Ce document peut être consulté et téléchargé sur le site internet de Trecento AM</w:t>
      </w:r>
      <w:r w:rsidR="002C00BC" w:rsidRPr="00AC76D0">
        <w:rPr>
          <w:rFonts w:ascii="Book Antiqua" w:hAnsi="Book Antiqua"/>
          <w:bCs/>
          <w:sz w:val="24"/>
          <w:szCs w:val="24"/>
        </w:rPr>
        <w:t xml:space="preserve"> </w:t>
      </w:r>
      <w:r w:rsidRPr="00AC76D0">
        <w:rPr>
          <w:rFonts w:ascii="Book Antiqua" w:hAnsi="Book Antiqua"/>
          <w:bCs/>
          <w:sz w:val="24"/>
          <w:szCs w:val="24"/>
        </w:rPr>
        <w:t xml:space="preserve">: </w:t>
      </w:r>
      <w:hyperlink r:id="rId9" w:history="1">
        <w:r w:rsidRPr="00AC76D0">
          <w:rPr>
            <w:rStyle w:val="Lienhypertexte"/>
            <w:rFonts w:ascii="Book Antiqua" w:hAnsi="Book Antiqua"/>
            <w:bCs/>
            <w:sz w:val="24"/>
            <w:szCs w:val="24"/>
          </w:rPr>
          <w:t>http://www.trecento-am.com/</w:t>
        </w:r>
      </w:hyperlink>
    </w:p>
    <w:p w14:paraId="40B2B972" w14:textId="77777777" w:rsidR="00EA00ED" w:rsidRPr="00AC76D0" w:rsidRDefault="00EA00ED" w:rsidP="00EA00ED">
      <w:pPr>
        <w:jc w:val="both"/>
        <w:rPr>
          <w:rStyle w:val="Lienhypertexte"/>
          <w:rFonts w:ascii="Book Antiqua" w:hAnsi="Book Antiqua"/>
          <w:bCs/>
          <w:sz w:val="28"/>
          <w:szCs w:val="28"/>
        </w:rPr>
      </w:pPr>
    </w:p>
    <w:p w14:paraId="23812EF8" w14:textId="77777777" w:rsidR="00EA00ED" w:rsidRPr="00AC76D0" w:rsidRDefault="00EA00ED" w:rsidP="00EA00ED">
      <w:pPr>
        <w:jc w:val="both"/>
        <w:rPr>
          <w:rStyle w:val="Lienhypertexte"/>
          <w:rFonts w:ascii="Book Antiqua" w:hAnsi="Book Antiqua"/>
          <w:bCs/>
          <w:sz w:val="28"/>
          <w:szCs w:val="28"/>
        </w:rPr>
      </w:pPr>
    </w:p>
    <w:p w14:paraId="2DF3B0CB" w14:textId="2B082F53" w:rsidR="00D05FAA" w:rsidRPr="00AC76D0" w:rsidRDefault="00D05FAA">
      <w:pPr>
        <w:spacing w:after="0" w:line="240" w:lineRule="auto"/>
        <w:rPr>
          <w:rFonts w:ascii="Book Antiqua" w:hAnsi="Book Antiqua"/>
          <w:bCs/>
          <w:sz w:val="28"/>
          <w:szCs w:val="28"/>
        </w:rPr>
      </w:pPr>
      <w:r w:rsidRPr="00AC76D0">
        <w:rPr>
          <w:rFonts w:ascii="Book Antiqua" w:hAnsi="Book Antiqua"/>
          <w:bCs/>
          <w:sz w:val="28"/>
          <w:szCs w:val="28"/>
        </w:rPr>
        <w:br w:type="page"/>
      </w:r>
    </w:p>
    <w:sdt>
      <w:sdtPr>
        <w:rPr>
          <w:rFonts w:ascii="Calibri" w:hAnsi="Calibri"/>
          <w:b w:val="0"/>
          <w:color w:val="0000FF"/>
          <w:sz w:val="22"/>
          <w:szCs w:val="22"/>
          <w:u w:val="none"/>
        </w:rPr>
        <w:id w:val="-173739466"/>
        <w:docPartObj>
          <w:docPartGallery w:val="Table of Contents"/>
          <w:docPartUnique/>
        </w:docPartObj>
      </w:sdtPr>
      <w:sdtEndPr>
        <w:rPr>
          <w:bCs/>
          <w:color w:val="auto"/>
          <w:sz w:val="24"/>
          <w:szCs w:val="24"/>
        </w:rPr>
      </w:sdtEndPr>
      <w:sdtContent>
        <w:p w14:paraId="00374F56" w14:textId="59B82C37" w:rsidR="00543D56" w:rsidRPr="00AC76D0" w:rsidRDefault="00543D56" w:rsidP="00D05FAA">
          <w:pPr>
            <w:pStyle w:val="En-ttedetabledesmatires"/>
            <w:numPr>
              <w:ilvl w:val="0"/>
              <w:numId w:val="0"/>
            </w:numPr>
          </w:pPr>
          <w:r w:rsidRPr="00AC76D0">
            <w:t>Sommaire</w:t>
          </w:r>
        </w:p>
        <w:p w14:paraId="36983B73" w14:textId="4225521B" w:rsidR="00AC76D0" w:rsidRPr="00AC76D0" w:rsidRDefault="00543D56">
          <w:pPr>
            <w:pStyle w:val="TM1"/>
            <w:rPr>
              <w:rFonts w:eastAsiaTheme="minorEastAsia" w:cstheme="minorBidi"/>
              <w:color w:val="auto"/>
              <w:sz w:val="24"/>
              <w:szCs w:val="24"/>
            </w:rPr>
          </w:pPr>
          <w:r w:rsidRPr="00AC76D0">
            <w:rPr>
              <w:sz w:val="24"/>
              <w:szCs w:val="24"/>
            </w:rPr>
            <w:fldChar w:fldCharType="begin"/>
          </w:r>
          <w:r w:rsidRPr="00AC76D0">
            <w:rPr>
              <w:sz w:val="24"/>
              <w:szCs w:val="24"/>
            </w:rPr>
            <w:instrText xml:space="preserve"> TOC \o "1-3" \h \z \u </w:instrText>
          </w:r>
          <w:r w:rsidRPr="00AC76D0">
            <w:rPr>
              <w:sz w:val="24"/>
              <w:szCs w:val="24"/>
            </w:rPr>
            <w:fldChar w:fldCharType="separate"/>
          </w:r>
          <w:hyperlink w:anchor="_Toc94636683" w:history="1">
            <w:r w:rsidR="00AC76D0" w:rsidRPr="00AC76D0">
              <w:rPr>
                <w:rStyle w:val="Lienhypertexte"/>
                <w:sz w:val="24"/>
                <w:szCs w:val="24"/>
              </w:rPr>
              <w:t>1.</w:t>
            </w:r>
            <w:r w:rsidR="00AC76D0" w:rsidRPr="00AC76D0">
              <w:rPr>
                <w:rFonts w:eastAsiaTheme="minorEastAsia" w:cstheme="minorBidi"/>
                <w:color w:val="auto"/>
                <w:sz w:val="24"/>
                <w:szCs w:val="24"/>
              </w:rPr>
              <w:tab/>
            </w:r>
            <w:r w:rsidR="00AC76D0" w:rsidRPr="00AC76D0">
              <w:rPr>
                <w:rStyle w:val="Lienhypertexte"/>
                <w:sz w:val="24"/>
                <w:szCs w:val="24"/>
              </w:rPr>
              <w:t>Stratégie ISR de Trecento AM</w:t>
            </w:r>
            <w:r w:rsidR="00AC76D0" w:rsidRPr="00AC76D0">
              <w:rPr>
                <w:webHidden/>
                <w:sz w:val="24"/>
                <w:szCs w:val="24"/>
              </w:rPr>
              <w:tab/>
            </w:r>
            <w:r w:rsidR="00AC76D0" w:rsidRPr="00AC76D0">
              <w:rPr>
                <w:webHidden/>
                <w:sz w:val="24"/>
                <w:szCs w:val="24"/>
              </w:rPr>
              <w:fldChar w:fldCharType="begin"/>
            </w:r>
            <w:r w:rsidR="00AC76D0" w:rsidRPr="00AC76D0">
              <w:rPr>
                <w:webHidden/>
                <w:sz w:val="24"/>
                <w:szCs w:val="24"/>
              </w:rPr>
              <w:instrText xml:space="preserve"> PAGEREF _Toc94636683 \h </w:instrText>
            </w:r>
            <w:r w:rsidR="00AC76D0" w:rsidRPr="00AC76D0">
              <w:rPr>
                <w:webHidden/>
                <w:sz w:val="24"/>
                <w:szCs w:val="24"/>
              </w:rPr>
            </w:r>
            <w:r w:rsidR="00AC76D0" w:rsidRPr="00AC76D0">
              <w:rPr>
                <w:webHidden/>
                <w:sz w:val="24"/>
                <w:szCs w:val="24"/>
              </w:rPr>
              <w:fldChar w:fldCharType="separate"/>
            </w:r>
            <w:r w:rsidR="00E74BDC">
              <w:rPr>
                <w:webHidden/>
                <w:sz w:val="24"/>
                <w:szCs w:val="24"/>
              </w:rPr>
              <w:t>4</w:t>
            </w:r>
            <w:r w:rsidR="00AC76D0" w:rsidRPr="00AC76D0">
              <w:rPr>
                <w:webHidden/>
                <w:sz w:val="24"/>
                <w:szCs w:val="24"/>
              </w:rPr>
              <w:fldChar w:fldCharType="end"/>
            </w:r>
          </w:hyperlink>
        </w:p>
        <w:p w14:paraId="092D6D8B" w14:textId="3231858B" w:rsidR="00AC76D0" w:rsidRPr="00AC76D0" w:rsidRDefault="00377ED3">
          <w:pPr>
            <w:pStyle w:val="TM1"/>
            <w:rPr>
              <w:rFonts w:eastAsiaTheme="minorEastAsia" w:cstheme="minorBidi"/>
              <w:color w:val="auto"/>
              <w:sz w:val="24"/>
              <w:szCs w:val="24"/>
            </w:rPr>
          </w:pPr>
          <w:hyperlink w:anchor="_Toc94636684" w:history="1">
            <w:r w:rsidR="00AC76D0" w:rsidRPr="00AC76D0">
              <w:rPr>
                <w:rStyle w:val="Lienhypertexte"/>
                <w:sz w:val="24"/>
                <w:szCs w:val="24"/>
              </w:rPr>
              <w:t>2.</w:t>
            </w:r>
            <w:r w:rsidR="00AC76D0" w:rsidRPr="00AC76D0">
              <w:rPr>
                <w:rFonts w:eastAsiaTheme="minorEastAsia" w:cstheme="minorBidi"/>
                <w:color w:val="auto"/>
                <w:sz w:val="24"/>
                <w:szCs w:val="24"/>
              </w:rPr>
              <w:tab/>
            </w:r>
            <w:r w:rsidR="00AC76D0" w:rsidRPr="00AC76D0">
              <w:rPr>
                <w:rStyle w:val="Lienhypertexte"/>
                <w:sz w:val="24"/>
                <w:szCs w:val="24"/>
              </w:rPr>
              <w:t>Critères ESG sélectionnés : définitions et méthodologie de calcul</w:t>
            </w:r>
            <w:r w:rsidR="00AC76D0" w:rsidRPr="00AC76D0">
              <w:rPr>
                <w:webHidden/>
                <w:sz w:val="24"/>
                <w:szCs w:val="24"/>
              </w:rPr>
              <w:tab/>
            </w:r>
            <w:r w:rsidR="00AC76D0" w:rsidRPr="00AC76D0">
              <w:rPr>
                <w:webHidden/>
                <w:sz w:val="24"/>
                <w:szCs w:val="24"/>
              </w:rPr>
              <w:fldChar w:fldCharType="begin"/>
            </w:r>
            <w:r w:rsidR="00AC76D0" w:rsidRPr="00AC76D0">
              <w:rPr>
                <w:webHidden/>
                <w:sz w:val="24"/>
                <w:szCs w:val="24"/>
              </w:rPr>
              <w:instrText xml:space="preserve"> PAGEREF _Toc94636684 \h </w:instrText>
            </w:r>
            <w:r w:rsidR="00AC76D0" w:rsidRPr="00AC76D0">
              <w:rPr>
                <w:webHidden/>
                <w:sz w:val="24"/>
                <w:szCs w:val="24"/>
              </w:rPr>
            </w:r>
            <w:r w:rsidR="00AC76D0" w:rsidRPr="00AC76D0">
              <w:rPr>
                <w:webHidden/>
                <w:sz w:val="24"/>
                <w:szCs w:val="24"/>
              </w:rPr>
              <w:fldChar w:fldCharType="separate"/>
            </w:r>
            <w:r w:rsidR="00E74BDC">
              <w:rPr>
                <w:webHidden/>
                <w:sz w:val="24"/>
                <w:szCs w:val="24"/>
              </w:rPr>
              <w:t>5</w:t>
            </w:r>
            <w:r w:rsidR="00AC76D0" w:rsidRPr="00AC76D0">
              <w:rPr>
                <w:webHidden/>
                <w:sz w:val="24"/>
                <w:szCs w:val="24"/>
              </w:rPr>
              <w:fldChar w:fldCharType="end"/>
            </w:r>
          </w:hyperlink>
        </w:p>
        <w:p w14:paraId="2ED01AE7" w14:textId="29B5127C" w:rsidR="00AC76D0" w:rsidRPr="00AC76D0" w:rsidRDefault="00377ED3">
          <w:pPr>
            <w:pStyle w:val="TM2"/>
            <w:rPr>
              <w:rFonts w:ascii="Book Antiqua" w:eastAsiaTheme="minorEastAsia" w:hAnsi="Book Antiqua" w:cstheme="minorBidi"/>
              <w:noProof/>
              <w:sz w:val="24"/>
              <w:szCs w:val="24"/>
            </w:rPr>
          </w:pPr>
          <w:hyperlink w:anchor="_Toc94636685" w:history="1">
            <w:r w:rsidR="00AC76D0" w:rsidRPr="00AC76D0">
              <w:rPr>
                <w:rStyle w:val="Lienhypertexte"/>
                <w:rFonts w:ascii="Book Antiqua" w:hAnsi="Book Antiqua"/>
                <w:noProof/>
                <w:sz w:val="24"/>
                <w:szCs w:val="24"/>
              </w:rPr>
              <w:t>2.1.</w:t>
            </w:r>
            <w:r w:rsidR="00AC76D0" w:rsidRPr="00AC76D0">
              <w:rPr>
                <w:rFonts w:ascii="Book Antiqua" w:eastAsiaTheme="minorEastAsia" w:hAnsi="Book Antiqua" w:cstheme="minorBidi"/>
                <w:noProof/>
                <w:sz w:val="24"/>
                <w:szCs w:val="24"/>
              </w:rPr>
              <w:tab/>
            </w:r>
            <w:r w:rsidR="00AC76D0" w:rsidRPr="00AC76D0">
              <w:rPr>
                <w:rStyle w:val="Lienhypertexte"/>
                <w:rFonts w:ascii="Book Antiqua" w:hAnsi="Book Antiqua"/>
                <w:noProof/>
                <w:sz w:val="24"/>
                <w:szCs w:val="24"/>
              </w:rPr>
              <w:t>Critères environnementaux suivis</w:t>
            </w:r>
            <w:r w:rsidR="00AC76D0" w:rsidRPr="00AC76D0">
              <w:rPr>
                <w:rFonts w:ascii="Book Antiqua" w:hAnsi="Book Antiqua"/>
                <w:noProof/>
                <w:webHidden/>
                <w:sz w:val="24"/>
                <w:szCs w:val="24"/>
              </w:rPr>
              <w:tab/>
            </w:r>
            <w:r w:rsidR="00AC76D0" w:rsidRPr="00AC76D0">
              <w:rPr>
                <w:rFonts w:ascii="Book Antiqua" w:hAnsi="Book Antiqua"/>
                <w:noProof/>
                <w:webHidden/>
                <w:sz w:val="24"/>
                <w:szCs w:val="24"/>
              </w:rPr>
              <w:fldChar w:fldCharType="begin"/>
            </w:r>
            <w:r w:rsidR="00AC76D0" w:rsidRPr="00AC76D0">
              <w:rPr>
                <w:rFonts w:ascii="Book Antiqua" w:hAnsi="Book Antiqua"/>
                <w:noProof/>
                <w:webHidden/>
                <w:sz w:val="24"/>
                <w:szCs w:val="24"/>
              </w:rPr>
              <w:instrText xml:space="preserve"> PAGEREF _Toc94636685 \h </w:instrText>
            </w:r>
            <w:r w:rsidR="00AC76D0" w:rsidRPr="00AC76D0">
              <w:rPr>
                <w:rFonts w:ascii="Book Antiqua" w:hAnsi="Book Antiqua"/>
                <w:noProof/>
                <w:webHidden/>
                <w:sz w:val="24"/>
                <w:szCs w:val="24"/>
              </w:rPr>
            </w:r>
            <w:r w:rsidR="00AC76D0" w:rsidRPr="00AC76D0">
              <w:rPr>
                <w:rFonts w:ascii="Book Antiqua" w:hAnsi="Book Antiqua"/>
                <w:noProof/>
                <w:webHidden/>
                <w:sz w:val="24"/>
                <w:szCs w:val="24"/>
              </w:rPr>
              <w:fldChar w:fldCharType="separate"/>
            </w:r>
            <w:r w:rsidR="00E74BDC">
              <w:rPr>
                <w:rFonts w:ascii="Book Antiqua" w:hAnsi="Book Antiqua"/>
                <w:noProof/>
                <w:webHidden/>
                <w:sz w:val="24"/>
                <w:szCs w:val="24"/>
              </w:rPr>
              <w:t>5</w:t>
            </w:r>
            <w:r w:rsidR="00AC76D0" w:rsidRPr="00AC76D0">
              <w:rPr>
                <w:rFonts w:ascii="Book Antiqua" w:hAnsi="Book Antiqua"/>
                <w:noProof/>
                <w:webHidden/>
                <w:sz w:val="24"/>
                <w:szCs w:val="24"/>
              </w:rPr>
              <w:fldChar w:fldCharType="end"/>
            </w:r>
          </w:hyperlink>
        </w:p>
        <w:p w14:paraId="00A4EC9C" w14:textId="786090CB" w:rsidR="00AC76D0" w:rsidRPr="00AC76D0" w:rsidRDefault="00377ED3">
          <w:pPr>
            <w:pStyle w:val="TM2"/>
            <w:rPr>
              <w:rFonts w:ascii="Book Antiqua" w:eastAsiaTheme="minorEastAsia" w:hAnsi="Book Antiqua" w:cstheme="minorBidi"/>
              <w:noProof/>
              <w:sz w:val="24"/>
              <w:szCs w:val="24"/>
            </w:rPr>
          </w:pPr>
          <w:hyperlink w:anchor="_Toc94636686" w:history="1">
            <w:r w:rsidR="00AC76D0" w:rsidRPr="00AC76D0">
              <w:rPr>
                <w:rStyle w:val="Lienhypertexte"/>
                <w:rFonts w:ascii="Book Antiqua" w:hAnsi="Book Antiqua"/>
                <w:noProof/>
                <w:sz w:val="24"/>
                <w:szCs w:val="24"/>
              </w:rPr>
              <w:t>2.2.</w:t>
            </w:r>
            <w:r w:rsidR="00AC76D0" w:rsidRPr="00AC76D0">
              <w:rPr>
                <w:rFonts w:ascii="Book Antiqua" w:eastAsiaTheme="minorEastAsia" w:hAnsi="Book Antiqua" w:cstheme="minorBidi"/>
                <w:noProof/>
                <w:sz w:val="24"/>
                <w:szCs w:val="24"/>
              </w:rPr>
              <w:tab/>
            </w:r>
            <w:r w:rsidR="00AC76D0" w:rsidRPr="00AC76D0">
              <w:rPr>
                <w:rStyle w:val="Lienhypertexte"/>
                <w:rFonts w:ascii="Book Antiqua" w:hAnsi="Book Antiqua"/>
                <w:noProof/>
                <w:sz w:val="24"/>
                <w:szCs w:val="24"/>
              </w:rPr>
              <w:t>Critères sociaux</w:t>
            </w:r>
            <w:r w:rsidR="00AC76D0" w:rsidRPr="00AC76D0">
              <w:rPr>
                <w:rFonts w:ascii="Book Antiqua" w:hAnsi="Book Antiqua"/>
                <w:noProof/>
                <w:webHidden/>
                <w:sz w:val="24"/>
                <w:szCs w:val="24"/>
              </w:rPr>
              <w:tab/>
            </w:r>
            <w:r w:rsidR="00AC76D0" w:rsidRPr="00AC76D0">
              <w:rPr>
                <w:rFonts w:ascii="Book Antiqua" w:hAnsi="Book Antiqua"/>
                <w:noProof/>
                <w:webHidden/>
                <w:sz w:val="24"/>
                <w:szCs w:val="24"/>
              </w:rPr>
              <w:fldChar w:fldCharType="begin"/>
            </w:r>
            <w:r w:rsidR="00AC76D0" w:rsidRPr="00AC76D0">
              <w:rPr>
                <w:rFonts w:ascii="Book Antiqua" w:hAnsi="Book Antiqua"/>
                <w:noProof/>
                <w:webHidden/>
                <w:sz w:val="24"/>
                <w:szCs w:val="24"/>
              </w:rPr>
              <w:instrText xml:space="preserve"> PAGEREF _Toc94636686 \h </w:instrText>
            </w:r>
            <w:r w:rsidR="00AC76D0" w:rsidRPr="00AC76D0">
              <w:rPr>
                <w:rFonts w:ascii="Book Antiqua" w:hAnsi="Book Antiqua"/>
                <w:noProof/>
                <w:webHidden/>
                <w:sz w:val="24"/>
                <w:szCs w:val="24"/>
              </w:rPr>
            </w:r>
            <w:r w:rsidR="00AC76D0" w:rsidRPr="00AC76D0">
              <w:rPr>
                <w:rFonts w:ascii="Book Antiqua" w:hAnsi="Book Antiqua"/>
                <w:noProof/>
                <w:webHidden/>
                <w:sz w:val="24"/>
                <w:szCs w:val="24"/>
              </w:rPr>
              <w:fldChar w:fldCharType="separate"/>
            </w:r>
            <w:r w:rsidR="00E74BDC">
              <w:rPr>
                <w:rFonts w:ascii="Book Antiqua" w:hAnsi="Book Antiqua"/>
                <w:noProof/>
                <w:webHidden/>
                <w:sz w:val="24"/>
                <w:szCs w:val="24"/>
              </w:rPr>
              <w:t>6</w:t>
            </w:r>
            <w:r w:rsidR="00AC76D0" w:rsidRPr="00AC76D0">
              <w:rPr>
                <w:rFonts w:ascii="Book Antiqua" w:hAnsi="Book Antiqua"/>
                <w:noProof/>
                <w:webHidden/>
                <w:sz w:val="24"/>
                <w:szCs w:val="24"/>
              </w:rPr>
              <w:fldChar w:fldCharType="end"/>
            </w:r>
          </w:hyperlink>
        </w:p>
        <w:p w14:paraId="5215C43C" w14:textId="28B279C5" w:rsidR="00AC76D0" w:rsidRPr="00AC76D0" w:rsidRDefault="00377ED3">
          <w:pPr>
            <w:pStyle w:val="TM2"/>
            <w:rPr>
              <w:rFonts w:ascii="Book Antiqua" w:eastAsiaTheme="minorEastAsia" w:hAnsi="Book Antiqua" w:cstheme="minorBidi"/>
              <w:noProof/>
              <w:sz w:val="24"/>
              <w:szCs w:val="24"/>
            </w:rPr>
          </w:pPr>
          <w:hyperlink w:anchor="_Toc94636687" w:history="1">
            <w:r w:rsidR="00AC76D0" w:rsidRPr="00AC76D0">
              <w:rPr>
                <w:rStyle w:val="Lienhypertexte"/>
                <w:rFonts w:ascii="Book Antiqua" w:hAnsi="Book Antiqua"/>
                <w:noProof/>
                <w:sz w:val="24"/>
                <w:szCs w:val="24"/>
              </w:rPr>
              <w:t>2.3.</w:t>
            </w:r>
            <w:r w:rsidR="00AC76D0" w:rsidRPr="00AC76D0">
              <w:rPr>
                <w:rFonts w:ascii="Book Antiqua" w:eastAsiaTheme="minorEastAsia" w:hAnsi="Book Antiqua" w:cstheme="minorBidi"/>
                <w:noProof/>
                <w:sz w:val="24"/>
                <w:szCs w:val="24"/>
              </w:rPr>
              <w:tab/>
            </w:r>
            <w:r w:rsidR="00AC76D0" w:rsidRPr="00AC76D0">
              <w:rPr>
                <w:rStyle w:val="Lienhypertexte"/>
                <w:rFonts w:ascii="Book Antiqua" w:hAnsi="Book Antiqua"/>
                <w:noProof/>
                <w:sz w:val="24"/>
                <w:szCs w:val="24"/>
              </w:rPr>
              <w:t>Critères de gouvernance</w:t>
            </w:r>
            <w:r w:rsidR="00AC76D0" w:rsidRPr="00AC76D0">
              <w:rPr>
                <w:rFonts w:ascii="Book Antiqua" w:hAnsi="Book Antiqua"/>
                <w:noProof/>
                <w:webHidden/>
                <w:sz w:val="24"/>
                <w:szCs w:val="24"/>
              </w:rPr>
              <w:tab/>
            </w:r>
            <w:r w:rsidR="00AC76D0" w:rsidRPr="00AC76D0">
              <w:rPr>
                <w:rFonts w:ascii="Book Antiqua" w:hAnsi="Book Antiqua"/>
                <w:noProof/>
                <w:webHidden/>
                <w:sz w:val="24"/>
                <w:szCs w:val="24"/>
              </w:rPr>
              <w:fldChar w:fldCharType="begin"/>
            </w:r>
            <w:r w:rsidR="00AC76D0" w:rsidRPr="00AC76D0">
              <w:rPr>
                <w:rFonts w:ascii="Book Antiqua" w:hAnsi="Book Antiqua"/>
                <w:noProof/>
                <w:webHidden/>
                <w:sz w:val="24"/>
                <w:szCs w:val="24"/>
              </w:rPr>
              <w:instrText xml:space="preserve"> PAGEREF _Toc94636687 \h </w:instrText>
            </w:r>
            <w:r w:rsidR="00AC76D0" w:rsidRPr="00AC76D0">
              <w:rPr>
                <w:rFonts w:ascii="Book Antiqua" w:hAnsi="Book Antiqua"/>
                <w:noProof/>
                <w:webHidden/>
                <w:sz w:val="24"/>
                <w:szCs w:val="24"/>
              </w:rPr>
            </w:r>
            <w:r w:rsidR="00AC76D0" w:rsidRPr="00AC76D0">
              <w:rPr>
                <w:rFonts w:ascii="Book Antiqua" w:hAnsi="Book Antiqua"/>
                <w:noProof/>
                <w:webHidden/>
                <w:sz w:val="24"/>
                <w:szCs w:val="24"/>
              </w:rPr>
              <w:fldChar w:fldCharType="separate"/>
            </w:r>
            <w:r w:rsidR="00E74BDC">
              <w:rPr>
                <w:rFonts w:ascii="Book Antiqua" w:hAnsi="Book Antiqua"/>
                <w:noProof/>
                <w:webHidden/>
                <w:sz w:val="24"/>
                <w:szCs w:val="24"/>
              </w:rPr>
              <w:t>7</w:t>
            </w:r>
            <w:r w:rsidR="00AC76D0" w:rsidRPr="00AC76D0">
              <w:rPr>
                <w:rFonts w:ascii="Book Antiqua" w:hAnsi="Book Antiqua"/>
                <w:noProof/>
                <w:webHidden/>
                <w:sz w:val="24"/>
                <w:szCs w:val="24"/>
              </w:rPr>
              <w:fldChar w:fldCharType="end"/>
            </w:r>
          </w:hyperlink>
        </w:p>
        <w:p w14:paraId="2816080B" w14:textId="3EB5721F" w:rsidR="00AC76D0" w:rsidRPr="00AC76D0" w:rsidRDefault="00377ED3">
          <w:pPr>
            <w:pStyle w:val="TM1"/>
            <w:rPr>
              <w:rFonts w:eastAsiaTheme="minorEastAsia" w:cstheme="minorBidi"/>
              <w:color w:val="auto"/>
              <w:sz w:val="24"/>
              <w:szCs w:val="24"/>
            </w:rPr>
          </w:pPr>
          <w:hyperlink w:anchor="_Toc94636688" w:history="1">
            <w:r w:rsidR="00AC76D0" w:rsidRPr="00AC76D0">
              <w:rPr>
                <w:rStyle w:val="Lienhypertexte"/>
                <w:sz w:val="24"/>
                <w:szCs w:val="24"/>
              </w:rPr>
              <w:t>3.</w:t>
            </w:r>
            <w:r w:rsidR="00AC76D0" w:rsidRPr="00AC76D0">
              <w:rPr>
                <w:rFonts w:eastAsiaTheme="minorEastAsia" w:cstheme="minorBidi"/>
                <w:color w:val="auto"/>
                <w:sz w:val="24"/>
                <w:szCs w:val="24"/>
              </w:rPr>
              <w:tab/>
            </w:r>
            <w:r w:rsidR="00AC76D0" w:rsidRPr="00AC76D0">
              <w:rPr>
                <w:rStyle w:val="Lienhypertexte"/>
                <w:sz w:val="24"/>
                <w:szCs w:val="24"/>
              </w:rPr>
              <w:t>Résultats de la mesure de performance ESG</w:t>
            </w:r>
            <w:r w:rsidR="00AC76D0" w:rsidRPr="00AC76D0">
              <w:rPr>
                <w:webHidden/>
                <w:sz w:val="24"/>
                <w:szCs w:val="24"/>
              </w:rPr>
              <w:tab/>
            </w:r>
            <w:r w:rsidR="00AC76D0" w:rsidRPr="00AC76D0">
              <w:rPr>
                <w:webHidden/>
                <w:sz w:val="24"/>
                <w:szCs w:val="24"/>
              </w:rPr>
              <w:fldChar w:fldCharType="begin"/>
            </w:r>
            <w:r w:rsidR="00AC76D0" w:rsidRPr="00AC76D0">
              <w:rPr>
                <w:webHidden/>
                <w:sz w:val="24"/>
                <w:szCs w:val="24"/>
              </w:rPr>
              <w:instrText xml:space="preserve"> PAGEREF _Toc94636688 \h </w:instrText>
            </w:r>
            <w:r w:rsidR="00AC76D0" w:rsidRPr="00AC76D0">
              <w:rPr>
                <w:webHidden/>
                <w:sz w:val="24"/>
                <w:szCs w:val="24"/>
              </w:rPr>
            </w:r>
            <w:r w:rsidR="00AC76D0" w:rsidRPr="00AC76D0">
              <w:rPr>
                <w:webHidden/>
                <w:sz w:val="24"/>
                <w:szCs w:val="24"/>
              </w:rPr>
              <w:fldChar w:fldCharType="separate"/>
            </w:r>
            <w:r w:rsidR="00E74BDC">
              <w:rPr>
                <w:webHidden/>
                <w:sz w:val="24"/>
                <w:szCs w:val="24"/>
              </w:rPr>
              <w:t>9</w:t>
            </w:r>
            <w:r w:rsidR="00AC76D0" w:rsidRPr="00AC76D0">
              <w:rPr>
                <w:webHidden/>
                <w:sz w:val="24"/>
                <w:szCs w:val="24"/>
              </w:rPr>
              <w:fldChar w:fldCharType="end"/>
            </w:r>
          </w:hyperlink>
        </w:p>
        <w:p w14:paraId="703F4F8E" w14:textId="49847501" w:rsidR="00AC76D0" w:rsidRPr="00AC76D0" w:rsidRDefault="00377ED3">
          <w:pPr>
            <w:pStyle w:val="TM2"/>
            <w:rPr>
              <w:rFonts w:ascii="Book Antiqua" w:eastAsiaTheme="minorEastAsia" w:hAnsi="Book Antiqua" w:cstheme="minorBidi"/>
              <w:noProof/>
              <w:sz w:val="24"/>
              <w:szCs w:val="24"/>
            </w:rPr>
          </w:pPr>
          <w:hyperlink w:anchor="_Toc94636689" w:history="1">
            <w:r w:rsidR="00AC76D0" w:rsidRPr="00AC76D0">
              <w:rPr>
                <w:rStyle w:val="Lienhypertexte"/>
                <w:rFonts w:ascii="Book Antiqua" w:hAnsi="Book Antiqua"/>
                <w:noProof/>
                <w:sz w:val="24"/>
                <w:szCs w:val="24"/>
              </w:rPr>
              <w:t>3.1.</w:t>
            </w:r>
            <w:r w:rsidR="00AC76D0" w:rsidRPr="00AC76D0">
              <w:rPr>
                <w:rFonts w:ascii="Book Antiqua" w:eastAsiaTheme="minorEastAsia" w:hAnsi="Book Antiqua" w:cstheme="minorBidi"/>
                <w:noProof/>
                <w:sz w:val="24"/>
                <w:szCs w:val="24"/>
              </w:rPr>
              <w:tab/>
            </w:r>
            <w:r w:rsidR="00AC76D0" w:rsidRPr="00AC76D0">
              <w:rPr>
                <w:rStyle w:val="Lienhypertexte"/>
                <w:rFonts w:ascii="Book Antiqua" w:hAnsi="Book Antiqua"/>
                <w:noProof/>
                <w:sz w:val="24"/>
                <w:szCs w:val="24"/>
              </w:rPr>
              <w:t>Trecento Santé ISR (données au 25/01/2022)</w:t>
            </w:r>
            <w:r w:rsidR="00AC76D0" w:rsidRPr="00AC76D0">
              <w:rPr>
                <w:rFonts w:ascii="Book Antiqua" w:hAnsi="Book Antiqua"/>
                <w:noProof/>
                <w:webHidden/>
                <w:sz w:val="24"/>
                <w:szCs w:val="24"/>
              </w:rPr>
              <w:tab/>
            </w:r>
            <w:r w:rsidR="00AC76D0" w:rsidRPr="00AC76D0">
              <w:rPr>
                <w:rFonts w:ascii="Book Antiqua" w:hAnsi="Book Antiqua"/>
                <w:noProof/>
                <w:webHidden/>
                <w:sz w:val="24"/>
                <w:szCs w:val="24"/>
              </w:rPr>
              <w:fldChar w:fldCharType="begin"/>
            </w:r>
            <w:r w:rsidR="00AC76D0" w:rsidRPr="00AC76D0">
              <w:rPr>
                <w:rFonts w:ascii="Book Antiqua" w:hAnsi="Book Antiqua"/>
                <w:noProof/>
                <w:webHidden/>
                <w:sz w:val="24"/>
                <w:szCs w:val="24"/>
              </w:rPr>
              <w:instrText xml:space="preserve"> PAGEREF _Toc94636689 \h </w:instrText>
            </w:r>
            <w:r w:rsidR="00AC76D0" w:rsidRPr="00AC76D0">
              <w:rPr>
                <w:rFonts w:ascii="Book Antiqua" w:hAnsi="Book Antiqua"/>
                <w:noProof/>
                <w:webHidden/>
                <w:sz w:val="24"/>
                <w:szCs w:val="24"/>
              </w:rPr>
            </w:r>
            <w:r w:rsidR="00AC76D0" w:rsidRPr="00AC76D0">
              <w:rPr>
                <w:rFonts w:ascii="Book Antiqua" w:hAnsi="Book Antiqua"/>
                <w:noProof/>
                <w:webHidden/>
                <w:sz w:val="24"/>
                <w:szCs w:val="24"/>
              </w:rPr>
              <w:fldChar w:fldCharType="separate"/>
            </w:r>
            <w:r w:rsidR="00E74BDC">
              <w:rPr>
                <w:rFonts w:ascii="Book Antiqua" w:hAnsi="Book Antiqua"/>
                <w:noProof/>
                <w:webHidden/>
                <w:sz w:val="24"/>
                <w:szCs w:val="24"/>
              </w:rPr>
              <w:t>9</w:t>
            </w:r>
            <w:r w:rsidR="00AC76D0" w:rsidRPr="00AC76D0">
              <w:rPr>
                <w:rFonts w:ascii="Book Antiqua" w:hAnsi="Book Antiqua"/>
                <w:noProof/>
                <w:webHidden/>
                <w:sz w:val="24"/>
                <w:szCs w:val="24"/>
              </w:rPr>
              <w:fldChar w:fldCharType="end"/>
            </w:r>
          </w:hyperlink>
        </w:p>
        <w:p w14:paraId="47DBF851" w14:textId="2BA45443" w:rsidR="00AC76D0" w:rsidRPr="00AC76D0" w:rsidRDefault="00377ED3">
          <w:pPr>
            <w:pStyle w:val="TM2"/>
            <w:rPr>
              <w:rFonts w:ascii="Book Antiqua" w:eastAsiaTheme="minorEastAsia" w:hAnsi="Book Antiqua" w:cstheme="minorBidi"/>
              <w:noProof/>
              <w:sz w:val="24"/>
              <w:szCs w:val="24"/>
            </w:rPr>
          </w:pPr>
          <w:hyperlink w:anchor="_Toc94636690" w:history="1">
            <w:r w:rsidR="00AC76D0" w:rsidRPr="00AC76D0">
              <w:rPr>
                <w:rStyle w:val="Lienhypertexte"/>
                <w:rFonts w:ascii="Book Antiqua" w:hAnsi="Book Antiqua"/>
                <w:noProof/>
                <w:sz w:val="24"/>
                <w:szCs w:val="24"/>
              </w:rPr>
              <w:t>3.1.</w:t>
            </w:r>
            <w:r w:rsidR="00AC76D0" w:rsidRPr="00AC76D0">
              <w:rPr>
                <w:rFonts w:ascii="Book Antiqua" w:eastAsiaTheme="minorEastAsia" w:hAnsi="Book Antiqua" w:cstheme="minorBidi"/>
                <w:noProof/>
                <w:sz w:val="24"/>
                <w:szCs w:val="24"/>
              </w:rPr>
              <w:tab/>
            </w:r>
            <w:r w:rsidR="00AC76D0" w:rsidRPr="00AC76D0">
              <w:rPr>
                <w:rStyle w:val="Lienhypertexte"/>
                <w:rFonts w:ascii="Book Antiqua" w:hAnsi="Book Antiqua"/>
                <w:noProof/>
                <w:sz w:val="24"/>
                <w:szCs w:val="24"/>
              </w:rPr>
              <w:t>Trecento Robotique ISR (données au 25/01/2022)</w:t>
            </w:r>
            <w:r w:rsidR="00AC76D0" w:rsidRPr="00AC76D0">
              <w:rPr>
                <w:rFonts w:ascii="Book Antiqua" w:hAnsi="Book Antiqua"/>
                <w:noProof/>
                <w:webHidden/>
                <w:sz w:val="24"/>
                <w:szCs w:val="24"/>
              </w:rPr>
              <w:tab/>
            </w:r>
            <w:r w:rsidR="00AC76D0" w:rsidRPr="00AC76D0">
              <w:rPr>
                <w:rFonts w:ascii="Book Antiqua" w:hAnsi="Book Antiqua"/>
                <w:noProof/>
                <w:webHidden/>
                <w:sz w:val="24"/>
                <w:szCs w:val="24"/>
              </w:rPr>
              <w:fldChar w:fldCharType="begin"/>
            </w:r>
            <w:r w:rsidR="00AC76D0" w:rsidRPr="00AC76D0">
              <w:rPr>
                <w:rFonts w:ascii="Book Antiqua" w:hAnsi="Book Antiqua"/>
                <w:noProof/>
                <w:webHidden/>
                <w:sz w:val="24"/>
                <w:szCs w:val="24"/>
              </w:rPr>
              <w:instrText xml:space="preserve"> PAGEREF _Toc94636690 \h </w:instrText>
            </w:r>
            <w:r w:rsidR="00AC76D0" w:rsidRPr="00AC76D0">
              <w:rPr>
                <w:rFonts w:ascii="Book Antiqua" w:hAnsi="Book Antiqua"/>
                <w:noProof/>
                <w:webHidden/>
                <w:sz w:val="24"/>
                <w:szCs w:val="24"/>
              </w:rPr>
            </w:r>
            <w:r w:rsidR="00AC76D0" w:rsidRPr="00AC76D0">
              <w:rPr>
                <w:rFonts w:ascii="Book Antiqua" w:hAnsi="Book Antiqua"/>
                <w:noProof/>
                <w:webHidden/>
                <w:sz w:val="24"/>
                <w:szCs w:val="24"/>
              </w:rPr>
              <w:fldChar w:fldCharType="separate"/>
            </w:r>
            <w:r w:rsidR="00E74BDC">
              <w:rPr>
                <w:rFonts w:ascii="Book Antiqua" w:hAnsi="Book Antiqua"/>
                <w:noProof/>
                <w:webHidden/>
                <w:sz w:val="24"/>
                <w:szCs w:val="24"/>
              </w:rPr>
              <w:t>10</w:t>
            </w:r>
            <w:r w:rsidR="00AC76D0" w:rsidRPr="00AC76D0">
              <w:rPr>
                <w:rFonts w:ascii="Book Antiqua" w:hAnsi="Book Antiqua"/>
                <w:noProof/>
                <w:webHidden/>
                <w:sz w:val="24"/>
                <w:szCs w:val="24"/>
              </w:rPr>
              <w:fldChar w:fldCharType="end"/>
            </w:r>
          </w:hyperlink>
        </w:p>
        <w:p w14:paraId="5CD20D79" w14:textId="17E519CD" w:rsidR="00AC76D0" w:rsidRPr="00AC76D0" w:rsidRDefault="00377ED3">
          <w:pPr>
            <w:pStyle w:val="TM2"/>
            <w:rPr>
              <w:rFonts w:ascii="Book Antiqua" w:eastAsiaTheme="minorEastAsia" w:hAnsi="Book Antiqua" w:cstheme="minorBidi"/>
              <w:noProof/>
              <w:sz w:val="24"/>
              <w:szCs w:val="24"/>
            </w:rPr>
          </w:pPr>
          <w:hyperlink w:anchor="_Toc94636691" w:history="1">
            <w:r w:rsidR="00AC76D0" w:rsidRPr="00AC76D0">
              <w:rPr>
                <w:rStyle w:val="Lienhypertexte"/>
                <w:rFonts w:ascii="Book Antiqua" w:hAnsi="Book Antiqua"/>
                <w:noProof/>
                <w:sz w:val="24"/>
                <w:szCs w:val="24"/>
              </w:rPr>
              <w:t>3.2.</w:t>
            </w:r>
            <w:r w:rsidR="00AC76D0" w:rsidRPr="00AC76D0">
              <w:rPr>
                <w:rFonts w:ascii="Book Antiqua" w:eastAsiaTheme="minorEastAsia" w:hAnsi="Book Antiqua" w:cstheme="minorBidi"/>
                <w:noProof/>
                <w:sz w:val="24"/>
                <w:szCs w:val="24"/>
              </w:rPr>
              <w:tab/>
            </w:r>
            <w:r w:rsidR="00AC76D0" w:rsidRPr="00AC76D0">
              <w:rPr>
                <w:rStyle w:val="Lienhypertexte"/>
                <w:rFonts w:ascii="Book Antiqua" w:hAnsi="Book Antiqua"/>
                <w:noProof/>
                <w:sz w:val="24"/>
                <w:szCs w:val="24"/>
              </w:rPr>
              <w:t>Communication et diffusion</w:t>
            </w:r>
            <w:r w:rsidR="00AC76D0" w:rsidRPr="00AC76D0">
              <w:rPr>
                <w:rFonts w:ascii="Book Antiqua" w:hAnsi="Book Antiqua"/>
                <w:noProof/>
                <w:webHidden/>
                <w:sz w:val="24"/>
                <w:szCs w:val="24"/>
              </w:rPr>
              <w:tab/>
            </w:r>
            <w:r w:rsidR="00AC76D0" w:rsidRPr="00AC76D0">
              <w:rPr>
                <w:rFonts w:ascii="Book Antiqua" w:hAnsi="Book Antiqua"/>
                <w:noProof/>
                <w:webHidden/>
                <w:sz w:val="24"/>
                <w:szCs w:val="24"/>
              </w:rPr>
              <w:fldChar w:fldCharType="begin"/>
            </w:r>
            <w:r w:rsidR="00AC76D0" w:rsidRPr="00AC76D0">
              <w:rPr>
                <w:rFonts w:ascii="Book Antiqua" w:hAnsi="Book Antiqua"/>
                <w:noProof/>
                <w:webHidden/>
                <w:sz w:val="24"/>
                <w:szCs w:val="24"/>
              </w:rPr>
              <w:instrText xml:space="preserve"> PAGEREF _Toc94636691 \h </w:instrText>
            </w:r>
            <w:r w:rsidR="00AC76D0" w:rsidRPr="00AC76D0">
              <w:rPr>
                <w:rFonts w:ascii="Book Antiqua" w:hAnsi="Book Antiqua"/>
                <w:noProof/>
                <w:webHidden/>
                <w:sz w:val="24"/>
                <w:szCs w:val="24"/>
              </w:rPr>
            </w:r>
            <w:r w:rsidR="00AC76D0" w:rsidRPr="00AC76D0">
              <w:rPr>
                <w:rFonts w:ascii="Book Antiqua" w:hAnsi="Book Antiqua"/>
                <w:noProof/>
                <w:webHidden/>
                <w:sz w:val="24"/>
                <w:szCs w:val="24"/>
              </w:rPr>
              <w:fldChar w:fldCharType="separate"/>
            </w:r>
            <w:r w:rsidR="00E74BDC">
              <w:rPr>
                <w:rFonts w:ascii="Book Antiqua" w:hAnsi="Book Antiqua"/>
                <w:noProof/>
                <w:webHidden/>
                <w:sz w:val="24"/>
                <w:szCs w:val="24"/>
              </w:rPr>
              <w:t>13</w:t>
            </w:r>
            <w:r w:rsidR="00AC76D0" w:rsidRPr="00AC76D0">
              <w:rPr>
                <w:rFonts w:ascii="Book Antiqua" w:hAnsi="Book Antiqua"/>
                <w:noProof/>
                <w:webHidden/>
                <w:sz w:val="24"/>
                <w:szCs w:val="24"/>
              </w:rPr>
              <w:fldChar w:fldCharType="end"/>
            </w:r>
          </w:hyperlink>
        </w:p>
        <w:p w14:paraId="4A48CE1C" w14:textId="015BB0D4" w:rsidR="00543D56" w:rsidRPr="00AC76D0" w:rsidRDefault="00543D56">
          <w:pPr>
            <w:rPr>
              <w:rFonts w:ascii="Book Antiqua" w:hAnsi="Book Antiqua"/>
              <w:sz w:val="24"/>
              <w:szCs w:val="24"/>
            </w:rPr>
          </w:pPr>
          <w:r w:rsidRPr="00AC76D0">
            <w:rPr>
              <w:rFonts w:ascii="Book Antiqua" w:hAnsi="Book Antiqua"/>
              <w:b/>
              <w:bCs/>
              <w:sz w:val="24"/>
              <w:szCs w:val="24"/>
            </w:rPr>
            <w:fldChar w:fldCharType="end"/>
          </w:r>
        </w:p>
      </w:sdtContent>
    </w:sdt>
    <w:p w14:paraId="1A331546" w14:textId="77777777" w:rsidR="00793030" w:rsidRPr="00AC76D0" w:rsidRDefault="00793030" w:rsidP="00793030">
      <w:pPr>
        <w:spacing w:after="0"/>
        <w:rPr>
          <w:rFonts w:ascii="Book Antiqua" w:hAnsi="Book Antiqua"/>
        </w:rPr>
        <w:sectPr w:rsidR="00793030" w:rsidRPr="00AC76D0" w:rsidSect="001C5A99">
          <w:type w:val="continuous"/>
          <w:pgSz w:w="11906" w:h="16838" w:code="9"/>
          <w:pgMar w:top="680" w:right="1077" w:bottom="1021" w:left="1077" w:header="709" w:footer="227" w:gutter="0"/>
          <w:pgBorders w:offsetFrom="page">
            <w:top w:val="single" w:sz="4" w:space="24" w:color="948A54"/>
            <w:left w:val="single" w:sz="4" w:space="24" w:color="948A54"/>
            <w:bottom w:val="single" w:sz="4" w:space="24" w:color="948A54"/>
            <w:right w:val="single" w:sz="4" w:space="24" w:color="948A54"/>
          </w:pgBorders>
          <w:cols w:space="720"/>
        </w:sectPr>
      </w:pPr>
    </w:p>
    <w:p w14:paraId="000288DE" w14:textId="519BC6B1" w:rsidR="002E55AC" w:rsidRPr="00AC76D0" w:rsidRDefault="00341EBC" w:rsidP="002E55AC">
      <w:pPr>
        <w:pStyle w:val="Titre1"/>
      </w:pPr>
      <w:bookmarkStart w:id="0" w:name="_Toc94636683"/>
      <w:bookmarkStart w:id="1" w:name="_Hlk24560433"/>
      <w:r w:rsidRPr="00AC76D0">
        <w:lastRenderedPageBreak/>
        <w:t>Stratégie ISR de Trecento AM</w:t>
      </w:r>
      <w:bookmarkEnd w:id="0"/>
    </w:p>
    <w:p w14:paraId="4F810AA3" w14:textId="0EB92CA2" w:rsidR="00597A49" w:rsidRDefault="00820373" w:rsidP="00597A49">
      <w:pPr>
        <w:jc w:val="both"/>
        <w:rPr>
          <w:rFonts w:ascii="Book Antiqua" w:hAnsi="Book Antiqua"/>
          <w:bCs/>
          <w:sz w:val="24"/>
          <w:szCs w:val="24"/>
        </w:rPr>
      </w:pPr>
      <w:r w:rsidRPr="00AC76D0">
        <w:rPr>
          <w:rFonts w:ascii="Book Antiqua" w:hAnsi="Book Antiqua"/>
          <w:bCs/>
          <w:sz w:val="24"/>
          <w:szCs w:val="24"/>
        </w:rPr>
        <w:t>En 2019, Trecento AM a défini une nouvelle stratégie d’investissement socialement responsable (ISR) en renforçant sa démarche d’intégration et d’analyse des critères ESG (Environnement, Social, Gouvernance) dans la sélection des investissements, applicable aux OPC Trecento Santé</w:t>
      </w:r>
      <w:r w:rsidR="005272E4" w:rsidRPr="00AC76D0">
        <w:rPr>
          <w:rFonts w:ascii="Book Antiqua" w:hAnsi="Book Antiqua"/>
          <w:bCs/>
          <w:sz w:val="24"/>
          <w:szCs w:val="24"/>
        </w:rPr>
        <w:t xml:space="preserve"> ISR</w:t>
      </w:r>
      <w:r w:rsidRPr="00AC76D0">
        <w:rPr>
          <w:rFonts w:ascii="Book Antiqua" w:hAnsi="Book Antiqua"/>
          <w:bCs/>
          <w:sz w:val="24"/>
          <w:szCs w:val="24"/>
        </w:rPr>
        <w:t xml:space="preserve"> (toutes parts confondues : FR0011319664 ; FR0013224391 ; FR0013224409 ; FR0013392461) et Trecento Robotique</w:t>
      </w:r>
      <w:r w:rsidR="00597A49" w:rsidRPr="00AC76D0">
        <w:rPr>
          <w:rFonts w:ascii="Book Antiqua" w:hAnsi="Book Antiqua"/>
          <w:bCs/>
          <w:sz w:val="24"/>
          <w:szCs w:val="24"/>
        </w:rPr>
        <w:t xml:space="preserve"> ISR</w:t>
      </w:r>
      <w:r w:rsidRPr="00AC76D0">
        <w:rPr>
          <w:rFonts w:ascii="Book Antiqua" w:hAnsi="Book Antiqua"/>
          <w:bCs/>
          <w:sz w:val="24"/>
          <w:szCs w:val="24"/>
        </w:rPr>
        <w:t xml:space="preserve"> (toutes parts confondues : FR0013219490 ; FR0013219482 ; FR0013282001 ; FR0013281995). </w:t>
      </w:r>
      <w:r w:rsidR="00597A49" w:rsidRPr="00AC76D0">
        <w:rPr>
          <w:rFonts w:ascii="Book Antiqua" w:hAnsi="Book Antiqua"/>
          <w:bCs/>
          <w:sz w:val="24"/>
          <w:szCs w:val="24"/>
        </w:rPr>
        <w:t>Les fonds Trecento Santé ISR et Trecento Robotique ISR ont obtenu le Label ISR le 6 mars 2020 et se conforment à ce titre aux exigences du label.</w:t>
      </w:r>
    </w:p>
    <w:p w14:paraId="70F20011" w14:textId="4D726AF6" w:rsidR="009455F7" w:rsidRPr="009455F7" w:rsidRDefault="009455F7" w:rsidP="00597A49">
      <w:pPr>
        <w:jc w:val="both"/>
        <w:rPr>
          <w:rFonts w:ascii="Book Antiqua" w:hAnsi="Book Antiqua"/>
        </w:rPr>
      </w:pPr>
      <w:r w:rsidRPr="00377ED3">
        <w:rPr>
          <w:rFonts w:ascii="Book Antiqua" w:hAnsi="Book Antiqua"/>
        </w:rPr>
        <w:t>A compter du 1</w:t>
      </w:r>
      <w:r w:rsidRPr="00377ED3">
        <w:rPr>
          <w:rFonts w:ascii="Book Antiqua" w:hAnsi="Book Antiqua"/>
          <w:vertAlign w:val="superscript"/>
        </w:rPr>
        <w:t>er</w:t>
      </w:r>
      <w:r w:rsidRPr="00377ED3">
        <w:rPr>
          <w:rFonts w:ascii="Book Antiqua" w:hAnsi="Book Antiqua"/>
        </w:rPr>
        <w:t xml:space="preserve"> septembre 2022, Trecento AM a modifié son approche au regard de la mise en application du référentiel v2 du label ISR : nous avons adopté l’approche en sélectivité (« réduction de 20% de l’univers </w:t>
      </w:r>
      <w:proofErr w:type="spellStart"/>
      <w:r w:rsidRPr="00377ED3">
        <w:rPr>
          <w:rFonts w:ascii="Book Antiqua" w:hAnsi="Book Antiqua"/>
        </w:rPr>
        <w:t>investissable</w:t>
      </w:r>
      <w:proofErr w:type="spellEnd"/>
      <w:r w:rsidRPr="00377ED3">
        <w:rPr>
          <w:rFonts w:ascii="Book Antiqua" w:hAnsi="Book Antiqua"/>
        </w:rPr>
        <w:t xml:space="preserve"> ESG par rapport à l’univers d’investissement initial des fonds Trecento Santé ISR et Trecento Robotique ISR»), comparativement à une approche en amélioration de note (« note ESG moyenne du portefeuille significativement supérieure à la note ESG moyenne de l’univers de départ ») précédemment appliquée.</w:t>
      </w:r>
    </w:p>
    <w:p w14:paraId="54E0261B" w14:textId="0064149C" w:rsidR="00C55B52" w:rsidRPr="00AC76D0" w:rsidRDefault="00C55B52" w:rsidP="00C55B52">
      <w:pPr>
        <w:jc w:val="both"/>
        <w:rPr>
          <w:rFonts w:ascii="Book Antiqua" w:hAnsi="Book Antiqua"/>
          <w:sz w:val="24"/>
          <w:szCs w:val="24"/>
        </w:rPr>
      </w:pPr>
      <w:r w:rsidRPr="00AC76D0">
        <w:rPr>
          <w:rFonts w:ascii="Book Antiqua" w:hAnsi="Book Antiqua"/>
          <w:sz w:val="24"/>
          <w:szCs w:val="24"/>
        </w:rPr>
        <w:t>La démarche d’investisseur responsable de Trecento AM s’articule principalement autour des 4 politiques suivantes :</w:t>
      </w:r>
    </w:p>
    <w:p w14:paraId="3622CB8D" w14:textId="77777777" w:rsidR="00C55B52" w:rsidRPr="00AC76D0" w:rsidRDefault="00377ED3" w:rsidP="00C55B52">
      <w:pPr>
        <w:pStyle w:val="Paragraphedeliste"/>
        <w:numPr>
          <w:ilvl w:val="0"/>
          <w:numId w:val="7"/>
        </w:numPr>
        <w:jc w:val="both"/>
        <w:rPr>
          <w:rFonts w:ascii="Book Antiqua" w:hAnsi="Book Antiqua"/>
          <w:sz w:val="24"/>
          <w:szCs w:val="24"/>
        </w:rPr>
      </w:pPr>
      <w:hyperlink r:id="rId10" w:history="1">
        <w:r w:rsidR="00C55B52" w:rsidRPr="00AC76D0">
          <w:rPr>
            <w:rStyle w:val="Lienhypertexte"/>
            <w:rFonts w:ascii="Book Antiqua" w:hAnsi="Book Antiqua"/>
            <w:sz w:val="24"/>
            <w:szCs w:val="24"/>
          </w:rPr>
          <w:t>Politique d’exclusion sectorielle et normative</w:t>
        </w:r>
      </w:hyperlink>
    </w:p>
    <w:p w14:paraId="6FE7AFB8" w14:textId="77777777" w:rsidR="00C55B52" w:rsidRPr="00AC76D0" w:rsidRDefault="00377ED3" w:rsidP="00C55B52">
      <w:pPr>
        <w:pStyle w:val="Paragraphedeliste"/>
        <w:numPr>
          <w:ilvl w:val="0"/>
          <w:numId w:val="7"/>
        </w:numPr>
        <w:jc w:val="both"/>
        <w:rPr>
          <w:rFonts w:ascii="Book Antiqua" w:hAnsi="Book Antiqua"/>
          <w:sz w:val="24"/>
          <w:szCs w:val="24"/>
        </w:rPr>
      </w:pPr>
      <w:hyperlink r:id="rId11" w:history="1">
        <w:r w:rsidR="00C55B52" w:rsidRPr="00AC76D0">
          <w:rPr>
            <w:rStyle w:val="Lienhypertexte"/>
            <w:rFonts w:ascii="Book Antiqua" w:hAnsi="Book Antiqua"/>
            <w:sz w:val="24"/>
            <w:szCs w:val="24"/>
          </w:rPr>
          <w:t>Politique d’intégration ESG et sélection des investissements</w:t>
        </w:r>
      </w:hyperlink>
    </w:p>
    <w:p w14:paraId="264D1B55" w14:textId="77777777" w:rsidR="00C55B52" w:rsidRPr="00AC76D0" w:rsidRDefault="00377ED3" w:rsidP="00C55B52">
      <w:pPr>
        <w:pStyle w:val="Paragraphedeliste"/>
        <w:numPr>
          <w:ilvl w:val="0"/>
          <w:numId w:val="7"/>
        </w:numPr>
        <w:jc w:val="both"/>
        <w:rPr>
          <w:rFonts w:ascii="Book Antiqua" w:hAnsi="Book Antiqua"/>
          <w:sz w:val="24"/>
          <w:szCs w:val="24"/>
        </w:rPr>
      </w:pPr>
      <w:hyperlink r:id="rId12" w:history="1">
        <w:r w:rsidR="00C55B52" w:rsidRPr="00AC76D0">
          <w:rPr>
            <w:rStyle w:val="Lienhypertexte"/>
            <w:rFonts w:ascii="Book Antiqua" w:hAnsi="Book Antiqua"/>
            <w:sz w:val="24"/>
            <w:szCs w:val="24"/>
          </w:rPr>
          <w:t>Politique d’exercice des droits de vote</w:t>
        </w:r>
      </w:hyperlink>
    </w:p>
    <w:p w14:paraId="771E5E86" w14:textId="36DCD42F" w:rsidR="00C55B52" w:rsidRPr="00AC76D0" w:rsidRDefault="00377ED3" w:rsidP="00C55B52">
      <w:pPr>
        <w:pStyle w:val="Paragraphedeliste"/>
        <w:numPr>
          <w:ilvl w:val="0"/>
          <w:numId w:val="7"/>
        </w:numPr>
        <w:jc w:val="both"/>
        <w:rPr>
          <w:rFonts w:ascii="Book Antiqua" w:hAnsi="Book Antiqua"/>
          <w:sz w:val="24"/>
          <w:szCs w:val="24"/>
        </w:rPr>
      </w:pPr>
      <w:hyperlink r:id="rId13" w:history="1">
        <w:r w:rsidR="00C55B52" w:rsidRPr="00AC76D0">
          <w:rPr>
            <w:rStyle w:val="Lienhypertexte"/>
            <w:rFonts w:ascii="Book Antiqua" w:hAnsi="Book Antiqua"/>
            <w:sz w:val="24"/>
            <w:szCs w:val="24"/>
          </w:rPr>
          <w:t>Politique d’engagement</w:t>
        </w:r>
      </w:hyperlink>
      <w:r w:rsidR="004E5BB2">
        <w:rPr>
          <w:rStyle w:val="Lienhypertexte"/>
          <w:rFonts w:ascii="Book Antiqua" w:hAnsi="Book Antiqua"/>
          <w:sz w:val="24"/>
          <w:szCs w:val="24"/>
        </w:rPr>
        <w:t xml:space="preserve"> actionnarial</w:t>
      </w:r>
    </w:p>
    <w:p w14:paraId="69219405" w14:textId="75553017" w:rsidR="00794854" w:rsidRPr="00AC76D0" w:rsidRDefault="00794854" w:rsidP="00DD289F">
      <w:pPr>
        <w:jc w:val="both"/>
        <w:rPr>
          <w:rFonts w:ascii="Book Antiqua" w:hAnsi="Book Antiqua"/>
          <w:sz w:val="24"/>
          <w:szCs w:val="24"/>
        </w:rPr>
      </w:pPr>
      <w:r w:rsidRPr="00AC76D0">
        <w:rPr>
          <w:rFonts w:ascii="Book Antiqua" w:hAnsi="Book Antiqua"/>
          <w:sz w:val="24"/>
          <w:szCs w:val="24"/>
        </w:rPr>
        <w:t>Notre démarche ISR répond au Code de Transparence ISR, conçu et approuvé par le FIR, l’AFG et Eurosif, afin d’apporter à l’ensemble de ses clients des informations transparentes sur sa gestion ISR (Investissement Socialement Responsable).</w:t>
      </w:r>
    </w:p>
    <w:p w14:paraId="6FB41905" w14:textId="48387ABA" w:rsidR="00DD289F" w:rsidRPr="00AC76D0" w:rsidRDefault="00DD289F" w:rsidP="00DD289F">
      <w:pPr>
        <w:jc w:val="both"/>
        <w:rPr>
          <w:rFonts w:ascii="Book Antiqua" w:hAnsi="Book Antiqua"/>
          <w:sz w:val="24"/>
          <w:szCs w:val="24"/>
        </w:rPr>
      </w:pPr>
      <w:r w:rsidRPr="00AC76D0">
        <w:rPr>
          <w:rFonts w:ascii="Book Antiqua" w:hAnsi="Book Antiqua"/>
          <w:sz w:val="24"/>
          <w:szCs w:val="24"/>
        </w:rPr>
        <w:t xml:space="preserve">Vous pouvez retrouver l’ensemble de notre documentation relative à notre démarche d’investisseur responsable sur notre site internet à l’adresse suivante : </w:t>
      </w:r>
      <w:hyperlink r:id="rId14" w:history="1">
        <w:r w:rsidRPr="00AC76D0">
          <w:rPr>
            <w:rStyle w:val="Lienhypertexte"/>
            <w:rFonts w:ascii="Book Antiqua" w:hAnsi="Book Antiqua"/>
            <w:sz w:val="24"/>
            <w:szCs w:val="24"/>
          </w:rPr>
          <w:t>http://www.trecento-am.com/notre-engagement-isr-esg/</w:t>
        </w:r>
      </w:hyperlink>
    </w:p>
    <w:p w14:paraId="72FAA51E" w14:textId="77777777" w:rsidR="00C55B52" w:rsidRPr="00AC76D0" w:rsidRDefault="00C55B52" w:rsidP="00352BCB">
      <w:pPr>
        <w:jc w:val="both"/>
        <w:rPr>
          <w:rFonts w:ascii="Book Antiqua" w:hAnsi="Book Antiqua"/>
          <w:bCs/>
          <w:sz w:val="24"/>
          <w:szCs w:val="24"/>
        </w:rPr>
      </w:pPr>
    </w:p>
    <w:p w14:paraId="7FD0DDB9" w14:textId="77777777" w:rsidR="00C55B52" w:rsidRPr="00AC76D0" w:rsidRDefault="00C55B52" w:rsidP="00C55B52">
      <w:pPr>
        <w:pStyle w:val="Titre1"/>
        <w:numPr>
          <w:ilvl w:val="0"/>
          <w:numId w:val="0"/>
        </w:numPr>
      </w:pPr>
    </w:p>
    <w:p w14:paraId="54436685" w14:textId="77777777" w:rsidR="00DD289F" w:rsidRPr="00AC76D0" w:rsidRDefault="00DD289F">
      <w:pPr>
        <w:spacing w:after="0" w:line="240" w:lineRule="auto"/>
        <w:rPr>
          <w:rFonts w:ascii="Book Antiqua" w:hAnsi="Book Antiqua"/>
          <w:b/>
          <w:color w:val="948A54"/>
          <w:sz w:val="32"/>
          <w:szCs w:val="32"/>
          <w:u w:val="single"/>
        </w:rPr>
      </w:pPr>
      <w:r w:rsidRPr="00AC76D0">
        <w:rPr>
          <w:rFonts w:ascii="Book Antiqua" w:hAnsi="Book Antiqua"/>
        </w:rPr>
        <w:br w:type="page"/>
      </w:r>
    </w:p>
    <w:p w14:paraId="7F229160" w14:textId="7F2BF42D" w:rsidR="002E55AC" w:rsidRPr="00AC76D0" w:rsidRDefault="00341EBC" w:rsidP="002E55AC">
      <w:pPr>
        <w:pStyle w:val="Titre1"/>
        <w:ind w:left="425" w:hanging="425"/>
      </w:pPr>
      <w:bookmarkStart w:id="2" w:name="_Toc94636684"/>
      <w:r w:rsidRPr="00AC76D0">
        <w:lastRenderedPageBreak/>
        <w:t>Critères ESG sélectionnés : définitions et méthodologie de calcul</w:t>
      </w:r>
      <w:bookmarkEnd w:id="2"/>
    </w:p>
    <w:p w14:paraId="7B9BEBE0" w14:textId="60F849AD" w:rsidR="00DB7747" w:rsidRPr="00AC76D0" w:rsidRDefault="00DB7747" w:rsidP="00DB7747">
      <w:pPr>
        <w:pStyle w:val="Titre2"/>
      </w:pPr>
      <w:bookmarkStart w:id="3" w:name="_Toc94636685"/>
      <w:bookmarkEnd w:id="1"/>
      <w:r w:rsidRPr="00AC76D0">
        <w:t xml:space="preserve">Critères environnementaux </w:t>
      </w:r>
      <w:r w:rsidR="00794854" w:rsidRPr="00AC76D0">
        <w:t>suivis</w:t>
      </w:r>
      <w:bookmarkEnd w:id="3"/>
    </w:p>
    <w:p w14:paraId="0A6BEFEE" w14:textId="69E03AFA" w:rsidR="00413E50" w:rsidRPr="00AC76D0" w:rsidRDefault="00DB7747" w:rsidP="00A020A9">
      <w:pPr>
        <w:jc w:val="both"/>
        <w:rPr>
          <w:rFonts w:ascii="Book Antiqua" w:hAnsi="Book Antiqua"/>
          <w:b/>
          <w:bCs/>
          <w:sz w:val="24"/>
          <w:szCs w:val="24"/>
        </w:rPr>
      </w:pPr>
      <w:r w:rsidRPr="00AC76D0">
        <w:rPr>
          <w:rFonts w:ascii="Book Antiqua" w:hAnsi="Book Antiqua"/>
          <w:b/>
          <w:bCs/>
          <w:sz w:val="24"/>
          <w:szCs w:val="24"/>
        </w:rPr>
        <w:t xml:space="preserve">Existence d’une politique </w:t>
      </w:r>
      <w:r w:rsidR="00413E50" w:rsidRPr="00AC76D0">
        <w:rPr>
          <w:rFonts w:ascii="Book Antiqua" w:hAnsi="Book Antiqua"/>
          <w:b/>
          <w:bCs/>
          <w:sz w:val="24"/>
          <w:szCs w:val="24"/>
        </w:rPr>
        <w:t>de réduction des émissions de gaz à effet de serre susceptibles de contribuer au réchauffement climatique</w:t>
      </w:r>
    </w:p>
    <w:p w14:paraId="6C34D525" w14:textId="77777777" w:rsidR="00DD7217" w:rsidRPr="00AC76D0" w:rsidRDefault="00A020A9" w:rsidP="00A020A9">
      <w:pPr>
        <w:jc w:val="both"/>
        <w:rPr>
          <w:rFonts w:ascii="Book Antiqua" w:hAnsi="Book Antiqua"/>
          <w:sz w:val="24"/>
          <w:szCs w:val="24"/>
        </w:rPr>
      </w:pPr>
      <w:r w:rsidRPr="00AC76D0">
        <w:rPr>
          <w:rFonts w:ascii="Book Antiqua" w:hAnsi="Book Antiqua"/>
          <w:sz w:val="24"/>
          <w:szCs w:val="24"/>
        </w:rPr>
        <w:t>Ce critère indique si l’émetteur a mis en place</w:t>
      </w:r>
      <w:r w:rsidR="00DD7217" w:rsidRPr="00AC76D0">
        <w:rPr>
          <w:rFonts w:ascii="Book Antiqua" w:hAnsi="Book Antiqua"/>
          <w:sz w:val="24"/>
          <w:szCs w:val="24"/>
        </w:rPr>
        <w:t xml:space="preserve"> (ou non)</w:t>
      </w:r>
      <w:r w:rsidRPr="00AC76D0">
        <w:rPr>
          <w:rFonts w:ascii="Book Antiqua" w:hAnsi="Book Antiqua"/>
          <w:sz w:val="24"/>
          <w:szCs w:val="24"/>
        </w:rPr>
        <w:t xml:space="preserve"> une politique de réduction de ses émissions globales de gaz à effet de serre (GES) susceptibles d'être responsables du réchauffement climatique dans le cadre de ses activités et/ou l'utilisation de ses produits et services. </w:t>
      </w:r>
    </w:p>
    <w:p w14:paraId="0EED998F" w14:textId="589A3EBF" w:rsidR="00DD7217" w:rsidRPr="00AC76D0" w:rsidRDefault="00DD7217" w:rsidP="00A020A9">
      <w:pPr>
        <w:jc w:val="both"/>
        <w:rPr>
          <w:rFonts w:ascii="Book Antiqua" w:hAnsi="Book Antiqua"/>
          <w:sz w:val="24"/>
          <w:szCs w:val="24"/>
        </w:rPr>
      </w:pPr>
      <w:r w:rsidRPr="00AC76D0">
        <w:rPr>
          <w:rFonts w:ascii="Book Antiqua" w:hAnsi="Book Antiqua"/>
          <w:sz w:val="24"/>
          <w:szCs w:val="24"/>
        </w:rPr>
        <w:t xml:space="preserve">Méthodologie : </w:t>
      </w:r>
      <w:r w:rsidR="00EB4413" w:rsidRPr="00AC76D0">
        <w:rPr>
          <w:rFonts w:ascii="Book Antiqua" w:hAnsi="Book Antiqua"/>
          <w:sz w:val="24"/>
          <w:szCs w:val="24"/>
        </w:rPr>
        <w:t xml:space="preserve">un émetteur est </w:t>
      </w:r>
      <w:r w:rsidR="00794854" w:rsidRPr="00AC76D0">
        <w:rPr>
          <w:rFonts w:ascii="Book Antiqua" w:hAnsi="Book Antiqua"/>
          <w:sz w:val="24"/>
          <w:szCs w:val="24"/>
        </w:rPr>
        <w:t>positif</w:t>
      </w:r>
      <w:r w:rsidR="00EB4413" w:rsidRPr="00AC76D0">
        <w:rPr>
          <w:rFonts w:ascii="Book Antiqua" w:hAnsi="Book Antiqua"/>
          <w:sz w:val="24"/>
          <w:szCs w:val="24"/>
        </w:rPr>
        <w:t xml:space="preserve"> (« </w:t>
      </w:r>
      <w:r w:rsidR="00794854" w:rsidRPr="00AC76D0">
        <w:rPr>
          <w:rFonts w:ascii="Book Antiqua" w:hAnsi="Book Antiqua"/>
          <w:sz w:val="24"/>
          <w:szCs w:val="24"/>
        </w:rPr>
        <w:t>Oui</w:t>
      </w:r>
      <w:r w:rsidR="00EB4413" w:rsidRPr="00AC76D0">
        <w:rPr>
          <w:rFonts w:ascii="Book Antiqua" w:hAnsi="Book Antiqua"/>
          <w:sz w:val="24"/>
          <w:szCs w:val="24"/>
        </w:rPr>
        <w:t> ») si celui-ci a explicitement et clairement divulgué une telle démarche dans son rapport annuel et/ou son rapport RSE (Responsabilité Sociétale des Entreprises) le plus récent</w:t>
      </w:r>
      <w:r w:rsidR="00794854" w:rsidRPr="00AC76D0">
        <w:rPr>
          <w:rFonts w:ascii="Book Antiqua" w:hAnsi="Book Antiqua"/>
          <w:sz w:val="24"/>
          <w:szCs w:val="24"/>
        </w:rPr>
        <w:t> ; dans le cas contraire, l’émetteur est catégorisé comme négatif (« Non »).</w:t>
      </w:r>
      <w:r w:rsidR="00413E50" w:rsidRPr="00AC76D0">
        <w:rPr>
          <w:rFonts w:ascii="Book Antiqua" w:hAnsi="Book Antiqua"/>
          <w:sz w:val="24"/>
          <w:szCs w:val="24"/>
        </w:rPr>
        <w:t xml:space="preserve"> Au niveau des fonds et des univers (santé et robotique), la donnée calculée correspond au nombre d’émetteurs positifs (« Oui »), en pourcentage du nombre total d’émetteurs composant le fonds ou l’univers d’investissement.</w:t>
      </w:r>
    </w:p>
    <w:p w14:paraId="0BD2B96D" w14:textId="6F21F7AB" w:rsidR="00A020A9" w:rsidRPr="00AC76D0" w:rsidRDefault="00A020A9" w:rsidP="00A020A9">
      <w:pPr>
        <w:jc w:val="both"/>
        <w:rPr>
          <w:rFonts w:ascii="Book Antiqua" w:hAnsi="Book Antiqua"/>
          <w:sz w:val="24"/>
          <w:szCs w:val="24"/>
        </w:rPr>
      </w:pPr>
      <w:r w:rsidRPr="00AC76D0">
        <w:rPr>
          <w:rFonts w:ascii="Book Antiqua" w:hAnsi="Book Antiqua"/>
          <w:sz w:val="24"/>
          <w:szCs w:val="24"/>
        </w:rPr>
        <w:t xml:space="preserve">Exemples (non exhaustif) : efforts </w:t>
      </w:r>
      <w:r w:rsidR="00DD7217" w:rsidRPr="00AC76D0">
        <w:rPr>
          <w:rFonts w:ascii="Book Antiqua" w:hAnsi="Book Antiqua"/>
          <w:sz w:val="24"/>
          <w:szCs w:val="24"/>
        </w:rPr>
        <w:t>de réduction directe</w:t>
      </w:r>
      <w:r w:rsidRPr="00AC76D0">
        <w:rPr>
          <w:rFonts w:ascii="Book Antiqua" w:hAnsi="Book Antiqua"/>
          <w:sz w:val="24"/>
          <w:szCs w:val="24"/>
        </w:rPr>
        <w:t xml:space="preserve"> </w:t>
      </w:r>
      <w:r w:rsidR="00DD7217" w:rsidRPr="00AC76D0">
        <w:rPr>
          <w:rFonts w:ascii="Book Antiqua" w:hAnsi="Book Antiqua"/>
          <w:sz w:val="24"/>
          <w:szCs w:val="24"/>
        </w:rPr>
        <w:t>d</w:t>
      </w:r>
      <w:r w:rsidRPr="00AC76D0">
        <w:rPr>
          <w:rFonts w:ascii="Book Antiqua" w:hAnsi="Book Antiqua"/>
          <w:sz w:val="24"/>
          <w:szCs w:val="24"/>
        </w:rPr>
        <w:t>es émissions de gaz à effet de serre (GES)</w:t>
      </w:r>
      <w:r w:rsidR="005A42A3" w:rsidRPr="00AC76D0">
        <w:rPr>
          <w:rFonts w:ascii="Book Antiqua" w:hAnsi="Book Antiqua"/>
          <w:sz w:val="24"/>
          <w:szCs w:val="24"/>
        </w:rPr>
        <w:t xml:space="preserve"> notamment à travers un ou des objectifs chiffré(s),</w:t>
      </w:r>
      <w:r w:rsidRPr="00AC76D0">
        <w:rPr>
          <w:rFonts w:ascii="Book Antiqua" w:hAnsi="Book Antiqua"/>
          <w:sz w:val="24"/>
          <w:szCs w:val="24"/>
        </w:rPr>
        <w:t xml:space="preserve"> amélior</w:t>
      </w:r>
      <w:r w:rsidR="00DD7217" w:rsidRPr="00AC76D0">
        <w:rPr>
          <w:rFonts w:ascii="Book Antiqua" w:hAnsi="Book Antiqua"/>
          <w:sz w:val="24"/>
          <w:szCs w:val="24"/>
        </w:rPr>
        <w:t>ation de</w:t>
      </w:r>
      <w:r w:rsidRPr="00AC76D0">
        <w:rPr>
          <w:rFonts w:ascii="Book Antiqua" w:hAnsi="Book Antiqua"/>
          <w:sz w:val="24"/>
          <w:szCs w:val="24"/>
        </w:rPr>
        <w:t xml:space="preserve"> l'efficacité énergétique, </w:t>
      </w:r>
      <w:r w:rsidR="005A42A3" w:rsidRPr="00AC76D0">
        <w:rPr>
          <w:rFonts w:ascii="Book Antiqua" w:hAnsi="Book Antiqua"/>
          <w:sz w:val="24"/>
          <w:szCs w:val="24"/>
        </w:rPr>
        <w:t>recours à des énergies renouvelables</w:t>
      </w:r>
      <w:r w:rsidRPr="00AC76D0">
        <w:rPr>
          <w:rFonts w:ascii="Book Antiqua" w:hAnsi="Book Antiqua"/>
          <w:sz w:val="24"/>
          <w:szCs w:val="24"/>
        </w:rPr>
        <w:t xml:space="preserve">, investissements dans le développement de produits pour réduire les émissions générées ou la consommation d'énergie résultant de </w:t>
      </w:r>
      <w:r w:rsidR="005A42A3" w:rsidRPr="00AC76D0">
        <w:rPr>
          <w:rFonts w:ascii="Book Antiqua" w:hAnsi="Book Antiqua"/>
          <w:sz w:val="24"/>
          <w:szCs w:val="24"/>
        </w:rPr>
        <w:t xml:space="preserve">leur </w:t>
      </w:r>
      <w:r w:rsidRPr="00AC76D0">
        <w:rPr>
          <w:rFonts w:ascii="Book Antiqua" w:hAnsi="Book Antiqua"/>
          <w:sz w:val="24"/>
          <w:szCs w:val="24"/>
        </w:rPr>
        <w:t>utilisation.</w:t>
      </w:r>
    </w:p>
    <w:p w14:paraId="05274779" w14:textId="6B6A18CA" w:rsidR="00FC0C9C" w:rsidRPr="00AC76D0" w:rsidRDefault="00FC0C9C" w:rsidP="00A020A9">
      <w:pPr>
        <w:jc w:val="both"/>
        <w:rPr>
          <w:rFonts w:ascii="Book Antiqua" w:hAnsi="Book Antiqua"/>
          <w:sz w:val="24"/>
          <w:szCs w:val="24"/>
        </w:rPr>
      </w:pPr>
      <w:r w:rsidRPr="00AC76D0">
        <w:rPr>
          <w:rFonts w:ascii="Book Antiqua" w:hAnsi="Book Antiqua"/>
          <w:sz w:val="24"/>
          <w:szCs w:val="24"/>
        </w:rPr>
        <w:t>Les données brutes sont extraites de Bloomberg qui se base sur des informations publiques et déclaratives des émetteurs.</w:t>
      </w:r>
    </w:p>
    <w:p w14:paraId="12D41B38" w14:textId="77777777" w:rsidR="00046EF4" w:rsidRPr="00AC76D0" w:rsidRDefault="00046EF4" w:rsidP="00A020A9">
      <w:pPr>
        <w:jc w:val="both"/>
        <w:rPr>
          <w:rFonts w:ascii="Book Antiqua" w:hAnsi="Book Antiqua"/>
          <w:b/>
          <w:bCs/>
          <w:sz w:val="24"/>
          <w:szCs w:val="24"/>
        </w:rPr>
      </w:pPr>
    </w:p>
    <w:p w14:paraId="7D7A14D6" w14:textId="56584175" w:rsidR="00DB7747" w:rsidRPr="00AC76D0" w:rsidRDefault="00A020A9" w:rsidP="00A020A9">
      <w:pPr>
        <w:jc w:val="both"/>
        <w:rPr>
          <w:rFonts w:ascii="Book Antiqua" w:hAnsi="Book Antiqua"/>
          <w:b/>
          <w:bCs/>
          <w:sz w:val="24"/>
          <w:szCs w:val="24"/>
        </w:rPr>
      </w:pPr>
      <w:r w:rsidRPr="00AC76D0">
        <w:rPr>
          <w:rFonts w:ascii="Book Antiqua" w:hAnsi="Book Antiqua"/>
          <w:b/>
          <w:bCs/>
          <w:sz w:val="24"/>
          <w:szCs w:val="24"/>
        </w:rPr>
        <w:t>E</w:t>
      </w:r>
      <w:r w:rsidR="00DB7747" w:rsidRPr="00AC76D0">
        <w:rPr>
          <w:rFonts w:ascii="Book Antiqua" w:hAnsi="Book Antiqua"/>
          <w:b/>
          <w:bCs/>
          <w:sz w:val="24"/>
          <w:szCs w:val="24"/>
        </w:rPr>
        <w:t>xistence d’initiative(s) en matière de réduction des émissions de gaz à effet de serre (GES)</w:t>
      </w:r>
    </w:p>
    <w:p w14:paraId="551A4D8D" w14:textId="34E222A1" w:rsidR="00DB7747" w:rsidRPr="00AC76D0" w:rsidRDefault="005A42A3" w:rsidP="006E3760">
      <w:pPr>
        <w:jc w:val="both"/>
        <w:rPr>
          <w:rFonts w:ascii="Book Antiqua" w:hAnsi="Book Antiqua"/>
          <w:sz w:val="24"/>
          <w:szCs w:val="24"/>
        </w:rPr>
      </w:pPr>
      <w:r w:rsidRPr="00AC76D0">
        <w:rPr>
          <w:rFonts w:ascii="Book Antiqua" w:hAnsi="Book Antiqua"/>
          <w:sz w:val="24"/>
          <w:szCs w:val="24"/>
        </w:rPr>
        <w:t xml:space="preserve">Ce critère indique si l’émetteur a engagé, à défaut d’avoir mis en place une politique en ce sens, </w:t>
      </w:r>
      <w:r w:rsidR="004C50F8" w:rsidRPr="00AC76D0">
        <w:rPr>
          <w:rFonts w:ascii="Book Antiqua" w:hAnsi="Book Antiqua"/>
          <w:sz w:val="24"/>
          <w:szCs w:val="24"/>
        </w:rPr>
        <w:t xml:space="preserve">une ou plusieurs </w:t>
      </w:r>
      <w:r w:rsidRPr="00AC76D0">
        <w:rPr>
          <w:rFonts w:ascii="Book Antiqua" w:hAnsi="Book Antiqua"/>
          <w:sz w:val="24"/>
          <w:szCs w:val="24"/>
        </w:rPr>
        <w:t>initiative</w:t>
      </w:r>
      <w:r w:rsidR="00CF6477" w:rsidRPr="00AC76D0">
        <w:rPr>
          <w:rFonts w:ascii="Book Antiqua" w:hAnsi="Book Antiqua"/>
          <w:sz w:val="24"/>
          <w:szCs w:val="24"/>
        </w:rPr>
        <w:t>(</w:t>
      </w:r>
      <w:r w:rsidRPr="00AC76D0">
        <w:rPr>
          <w:rFonts w:ascii="Book Antiqua" w:hAnsi="Book Antiqua"/>
          <w:sz w:val="24"/>
          <w:szCs w:val="24"/>
        </w:rPr>
        <w:t>s</w:t>
      </w:r>
      <w:r w:rsidR="00CF6477" w:rsidRPr="00AC76D0">
        <w:rPr>
          <w:rFonts w:ascii="Book Antiqua" w:hAnsi="Book Antiqua"/>
          <w:sz w:val="24"/>
          <w:szCs w:val="24"/>
        </w:rPr>
        <w:t>)</w:t>
      </w:r>
      <w:r w:rsidRPr="00AC76D0">
        <w:rPr>
          <w:rFonts w:ascii="Book Antiqua" w:hAnsi="Book Antiqua"/>
          <w:sz w:val="24"/>
          <w:szCs w:val="24"/>
        </w:rPr>
        <w:t xml:space="preserve"> pour réduire les émissions de gaz à effet de serre (GES).</w:t>
      </w:r>
    </w:p>
    <w:p w14:paraId="6BD16CCC" w14:textId="7A497679" w:rsidR="00302BBC" w:rsidRPr="00AC76D0" w:rsidRDefault="006012FF" w:rsidP="006E3760">
      <w:pPr>
        <w:jc w:val="both"/>
        <w:rPr>
          <w:rFonts w:ascii="Book Antiqua" w:hAnsi="Book Antiqua"/>
          <w:sz w:val="24"/>
          <w:szCs w:val="24"/>
        </w:rPr>
      </w:pPr>
      <w:r w:rsidRPr="00AC76D0">
        <w:rPr>
          <w:rFonts w:ascii="Book Antiqua" w:hAnsi="Book Antiqua"/>
          <w:sz w:val="24"/>
          <w:szCs w:val="24"/>
        </w:rPr>
        <w:t xml:space="preserve">Méthodologie : un émetteur est négatif (« Non ») si celui-ci </w:t>
      </w:r>
      <w:r w:rsidR="00302BBC" w:rsidRPr="00AC76D0">
        <w:rPr>
          <w:rFonts w:ascii="Book Antiqua" w:hAnsi="Book Antiqua"/>
          <w:sz w:val="24"/>
          <w:szCs w:val="24"/>
        </w:rPr>
        <w:t>n’a pas explicitement divulgué de telles efforts ou initiatives dans son rapport annuel et/ou son rapport RSE le plus récent.</w:t>
      </w:r>
      <w:r w:rsidR="00413E50" w:rsidRPr="00AC76D0">
        <w:rPr>
          <w:rFonts w:ascii="Book Antiqua" w:hAnsi="Book Antiqua"/>
          <w:sz w:val="24"/>
          <w:szCs w:val="24"/>
        </w:rPr>
        <w:t xml:space="preserve"> Au niveau des fonds et des univers (santé et robotique), la donnée calculée correspond au nombre d’émetteurs positifs (« Oui »), en pourcentage du nombre total d’émetteurs composant le fonds ou l’univers d’investissement.</w:t>
      </w:r>
    </w:p>
    <w:p w14:paraId="6FCA6879" w14:textId="2D7F5705" w:rsidR="00FC0C9C" w:rsidRPr="00AC76D0" w:rsidRDefault="00FC0C9C" w:rsidP="00FC0C9C">
      <w:pPr>
        <w:jc w:val="both"/>
        <w:rPr>
          <w:rFonts w:ascii="Book Antiqua" w:hAnsi="Book Antiqua"/>
          <w:sz w:val="24"/>
          <w:szCs w:val="24"/>
        </w:rPr>
      </w:pPr>
      <w:r w:rsidRPr="00AC76D0">
        <w:rPr>
          <w:rFonts w:ascii="Book Antiqua" w:hAnsi="Book Antiqua"/>
          <w:sz w:val="24"/>
          <w:szCs w:val="24"/>
        </w:rPr>
        <w:t>Les données brutes sont extraites de Bloomberg qui se base sur des informations publiques et déclaratives des émetteurs.</w:t>
      </w:r>
    </w:p>
    <w:p w14:paraId="5C2C0F7B" w14:textId="77777777" w:rsidR="00C21662" w:rsidRPr="00AC76D0" w:rsidRDefault="00C21662">
      <w:pPr>
        <w:spacing w:after="0" w:line="240" w:lineRule="auto"/>
        <w:rPr>
          <w:rFonts w:ascii="Book Antiqua" w:hAnsi="Book Antiqua"/>
          <w:b/>
          <w:color w:val="948A54"/>
          <w:sz w:val="28"/>
          <w:szCs w:val="28"/>
        </w:rPr>
      </w:pPr>
      <w:r w:rsidRPr="00AC76D0">
        <w:rPr>
          <w:rFonts w:ascii="Book Antiqua" w:hAnsi="Book Antiqua"/>
        </w:rPr>
        <w:br w:type="page"/>
      </w:r>
    </w:p>
    <w:p w14:paraId="3BCB2136" w14:textId="38637FD6" w:rsidR="00DB7747" w:rsidRPr="00AC76D0" w:rsidRDefault="00DB7747" w:rsidP="00DB7747">
      <w:pPr>
        <w:pStyle w:val="Titre2"/>
      </w:pPr>
      <w:bookmarkStart w:id="4" w:name="_Toc94636686"/>
      <w:r w:rsidRPr="00AC76D0">
        <w:lastRenderedPageBreak/>
        <w:t>Critères sociaux</w:t>
      </w:r>
      <w:bookmarkEnd w:id="4"/>
    </w:p>
    <w:p w14:paraId="7BF7DCD1" w14:textId="114993BE" w:rsidR="00046EF4" w:rsidRPr="00AC76D0" w:rsidRDefault="00046EF4" w:rsidP="00046EF4">
      <w:pPr>
        <w:jc w:val="both"/>
        <w:rPr>
          <w:rFonts w:ascii="Book Antiqua" w:hAnsi="Book Antiqua"/>
          <w:b/>
          <w:bCs/>
          <w:sz w:val="24"/>
          <w:szCs w:val="24"/>
        </w:rPr>
      </w:pPr>
      <w:r w:rsidRPr="00AC76D0">
        <w:rPr>
          <w:rFonts w:ascii="Book Antiqua" w:hAnsi="Book Antiqua"/>
          <w:b/>
          <w:bCs/>
          <w:sz w:val="24"/>
          <w:szCs w:val="24"/>
        </w:rPr>
        <w:t>E</w:t>
      </w:r>
      <w:r w:rsidR="00DB7747" w:rsidRPr="00AC76D0">
        <w:rPr>
          <w:rFonts w:ascii="Book Antiqua" w:hAnsi="Book Antiqua"/>
          <w:b/>
          <w:bCs/>
          <w:sz w:val="24"/>
          <w:szCs w:val="24"/>
        </w:rPr>
        <w:t>xistence d’une politique de non-discrimination</w:t>
      </w:r>
    </w:p>
    <w:p w14:paraId="621DF11A" w14:textId="5BABEF23" w:rsidR="00046EF4" w:rsidRPr="00AC76D0" w:rsidRDefault="00046EF4" w:rsidP="00046EF4">
      <w:pPr>
        <w:jc w:val="both"/>
        <w:rPr>
          <w:rFonts w:ascii="Book Antiqua" w:hAnsi="Book Antiqua"/>
          <w:sz w:val="24"/>
          <w:szCs w:val="24"/>
        </w:rPr>
      </w:pPr>
      <w:r w:rsidRPr="00AC76D0">
        <w:rPr>
          <w:rFonts w:ascii="Book Antiqua" w:hAnsi="Book Antiqua"/>
          <w:sz w:val="24"/>
          <w:szCs w:val="24"/>
        </w:rPr>
        <w:t>Ce critère indique si l’émetteur a mis en place (ou non) une politique destinée à prévenir toute pratique de discrimination contre tout type de population</w:t>
      </w:r>
      <w:r w:rsidR="004C50F8" w:rsidRPr="00AC76D0">
        <w:rPr>
          <w:rFonts w:ascii="Book Antiqua" w:hAnsi="Book Antiqua"/>
          <w:sz w:val="24"/>
          <w:szCs w:val="24"/>
        </w:rPr>
        <w:t xml:space="preserve"> ou groupe démographique. Elle peut notamment prendre la forme d’une politique d’égalité des chances.</w:t>
      </w:r>
    </w:p>
    <w:p w14:paraId="1248ED5F" w14:textId="646192C8" w:rsidR="00046EF4" w:rsidRPr="00AC76D0" w:rsidRDefault="00046EF4" w:rsidP="00046EF4">
      <w:pPr>
        <w:jc w:val="both"/>
        <w:rPr>
          <w:rFonts w:ascii="Book Antiqua" w:hAnsi="Book Antiqua"/>
          <w:sz w:val="24"/>
          <w:szCs w:val="24"/>
        </w:rPr>
      </w:pPr>
      <w:r w:rsidRPr="00AC76D0">
        <w:rPr>
          <w:rFonts w:ascii="Book Antiqua" w:hAnsi="Book Antiqua"/>
          <w:sz w:val="24"/>
          <w:szCs w:val="24"/>
        </w:rPr>
        <w:t xml:space="preserve">Méthodologie : </w:t>
      </w:r>
      <w:r w:rsidR="004C50F8" w:rsidRPr="00AC76D0">
        <w:rPr>
          <w:rFonts w:ascii="Book Antiqua" w:hAnsi="Book Antiqua"/>
          <w:sz w:val="24"/>
          <w:szCs w:val="24"/>
        </w:rPr>
        <w:t>un émetteur est négatif (« Non ») si celui-ci n’a pas défini de tels principes dans ses documents et rapports les plus récents (incluant par exemple, le rapport annuel, le rapport RSE, le code d’Ethique, etc).</w:t>
      </w:r>
      <w:r w:rsidR="00413E50" w:rsidRPr="00AC76D0">
        <w:rPr>
          <w:rFonts w:ascii="Book Antiqua" w:hAnsi="Book Antiqua"/>
          <w:sz w:val="24"/>
          <w:szCs w:val="24"/>
        </w:rPr>
        <w:t xml:space="preserve"> Au niveau des fonds et des univers (santé et robotique), la donnée calculée correspond au nombre d’émetteurs positifs (« Oui »), en pourcentage du nombre total d’émetteurs composant le fonds ou l’univers d’investissement.</w:t>
      </w:r>
    </w:p>
    <w:p w14:paraId="2EBD2E3E" w14:textId="426638EB" w:rsidR="00046EF4" w:rsidRPr="00AC76D0" w:rsidRDefault="004C50F8" w:rsidP="00046EF4">
      <w:pPr>
        <w:jc w:val="both"/>
        <w:rPr>
          <w:rFonts w:ascii="Book Antiqua" w:hAnsi="Book Antiqua"/>
          <w:sz w:val="24"/>
          <w:szCs w:val="24"/>
        </w:rPr>
      </w:pPr>
      <w:r w:rsidRPr="00AC76D0">
        <w:rPr>
          <w:rFonts w:ascii="Book Antiqua" w:hAnsi="Book Antiqua"/>
          <w:sz w:val="24"/>
          <w:szCs w:val="24"/>
        </w:rPr>
        <w:t>Exemples (non exhaustif) : politique de non-discrimination sur le genre (homme/femme), politique de non-discrimination ethnique, politique de non-discrimination sur l’âge, etc.</w:t>
      </w:r>
    </w:p>
    <w:p w14:paraId="4316D70E" w14:textId="166520D7" w:rsidR="00FC0C9C" w:rsidRPr="00AC76D0" w:rsidRDefault="00FC0C9C" w:rsidP="00FC0C9C">
      <w:pPr>
        <w:jc w:val="both"/>
        <w:rPr>
          <w:rFonts w:ascii="Book Antiqua" w:hAnsi="Book Antiqua"/>
          <w:sz w:val="24"/>
          <w:szCs w:val="24"/>
        </w:rPr>
      </w:pPr>
      <w:r w:rsidRPr="00AC76D0">
        <w:rPr>
          <w:rFonts w:ascii="Book Antiqua" w:hAnsi="Book Antiqua"/>
          <w:sz w:val="24"/>
          <w:szCs w:val="24"/>
        </w:rPr>
        <w:t>Les données brutes sont extraites de Bloomberg qui se base sur des informations publiques et déclaratives des émetteurs.</w:t>
      </w:r>
    </w:p>
    <w:p w14:paraId="56FFB80E" w14:textId="77777777" w:rsidR="00B03DEE" w:rsidRPr="00AC76D0" w:rsidRDefault="00B03DEE" w:rsidP="00046EF4">
      <w:pPr>
        <w:jc w:val="both"/>
        <w:rPr>
          <w:rFonts w:ascii="Book Antiqua" w:hAnsi="Book Antiqua"/>
          <w:sz w:val="24"/>
          <w:szCs w:val="24"/>
        </w:rPr>
      </w:pPr>
    </w:p>
    <w:p w14:paraId="775D2DC1" w14:textId="6233C708" w:rsidR="00046EF4" w:rsidRPr="00AC76D0" w:rsidRDefault="00046EF4" w:rsidP="00046EF4">
      <w:pPr>
        <w:jc w:val="both"/>
        <w:rPr>
          <w:rFonts w:ascii="Book Antiqua" w:hAnsi="Book Antiqua"/>
          <w:b/>
          <w:bCs/>
          <w:sz w:val="24"/>
          <w:szCs w:val="24"/>
        </w:rPr>
      </w:pPr>
      <w:r w:rsidRPr="00AC76D0">
        <w:rPr>
          <w:rFonts w:ascii="Book Antiqua" w:hAnsi="Book Antiqua"/>
          <w:b/>
          <w:bCs/>
          <w:sz w:val="24"/>
          <w:szCs w:val="24"/>
        </w:rPr>
        <w:t>E</w:t>
      </w:r>
      <w:r w:rsidR="00DB7747" w:rsidRPr="00AC76D0">
        <w:rPr>
          <w:rFonts w:ascii="Book Antiqua" w:hAnsi="Book Antiqua"/>
          <w:b/>
          <w:bCs/>
          <w:sz w:val="24"/>
          <w:szCs w:val="24"/>
        </w:rPr>
        <w:t xml:space="preserve">xistence d’une politique concernant les </w:t>
      </w:r>
      <w:r w:rsidR="008F444A" w:rsidRPr="00AC76D0">
        <w:rPr>
          <w:rFonts w:ascii="Book Antiqua" w:hAnsi="Book Antiqua"/>
          <w:b/>
          <w:bCs/>
          <w:sz w:val="24"/>
          <w:szCs w:val="24"/>
        </w:rPr>
        <w:t>D</w:t>
      </w:r>
      <w:r w:rsidR="00DB7747" w:rsidRPr="00AC76D0">
        <w:rPr>
          <w:rFonts w:ascii="Book Antiqua" w:hAnsi="Book Antiqua"/>
          <w:b/>
          <w:bCs/>
          <w:sz w:val="24"/>
          <w:szCs w:val="24"/>
        </w:rPr>
        <w:t>roits de l’Homme</w:t>
      </w:r>
    </w:p>
    <w:p w14:paraId="37490E08" w14:textId="157CDCCF" w:rsidR="004C50F8" w:rsidRPr="00AC76D0" w:rsidRDefault="004C50F8" w:rsidP="00046EF4">
      <w:pPr>
        <w:jc w:val="both"/>
        <w:rPr>
          <w:rFonts w:ascii="Book Antiqua" w:hAnsi="Book Antiqua"/>
          <w:sz w:val="24"/>
          <w:szCs w:val="24"/>
        </w:rPr>
      </w:pPr>
      <w:r w:rsidRPr="00AC76D0">
        <w:rPr>
          <w:rFonts w:ascii="Book Antiqua" w:hAnsi="Book Antiqua"/>
          <w:sz w:val="24"/>
          <w:szCs w:val="24"/>
        </w:rPr>
        <w:t xml:space="preserve">Ce critère indique si l’émetteur a </w:t>
      </w:r>
      <w:r w:rsidR="00CF6477" w:rsidRPr="00AC76D0">
        <w:rPr>
          <w:rFonts w:ascii="Book Antiqua" w:hAnsi="Book Antiqua"/>
          <w:sz w:val="24"/>
          <w:szCs w:val="24"/>
        </w:rPr>
        <w:t>implémenté</w:t>
      </w:r>
      <w:r w:rsidRPr="00AC76D0">
        <w:rPr>
          <w:rFonts w:ascii="Book Antiqua" w:hAnsi="Book Antiqua"/>
          <w:sz w:val="24"/>
          <w:szCs w:val="24"/>
        </w:rPr>
        <w:t xml:space="preserve"> (ou non) une ou plusieurs</w:t>
      </w:r>
      <w:r w:rsidR="00CF6477" w:rsidRPr="00AC76D0">
        <w:rPr>
          <w:rFonts w:ascii="Book Antiqua" w:hAnsi="Book Antiqua"/>
          <w:sz w:val="24"/>
          <w:szCs w:val="24"/>
        </w:rPr>
        <w:t xml:space="preserve"> initiative(s)/mesure(s) destinée(s) à s’assurer de la protection et la défense des droits fondamentaux de ses salariés et de toute personne affiliée à une partie prenante.</w:t>
      </w:r>
      <w:r w:rsidR="00413E50" w:rsidRPr="00AC76D0">
        <w:rPr>
          <w:rFonts w:ascii="Book Antiqua" w:hAnsi="Book Antiqua"/>
          <w:sz w:val="24"/>
          <w:szCs w:val="24"/>
        </w:rPr>
        <w:t xml:space="preserve"> </w:t>
      </w:r>
    </w:p>
    <w:p w14:paraId="596C995B" w14:textId="16A6E525" w:rsidR="00413E50" w:rsidRPr="00AC76D0" w:rsidRDefault="00CF6477" w:rsidP="00046EF4">
      <w:pPr>
        <w:jc w:val="both"/>
        <w:rPr>
          <w:rFonts w:ascii="Book Antiqua" w:hAnsi="Book Antiqua"/>
          <w:sz w:val="24"/>
          <w:szCs w:val="24"/>
        </w:rPr>
      </w:pPr>
      <w:r w:rsidRPr="00AC76D0">
        <w:rPr>
          <w:rFonts w:ascii="Book Antiqua" w:hAnsi="Book Antiqua"/>
          <w:sz w:val="24"/>
          <w:szCs w:val="24"/>
        </w:rPr>
        <w:t xml:space="preserve">Méthodologie : un émetteur est négatif (« Non ») si celui-ci n’a pas explicitement spécifié de telle(s) initiative(s)/mesure(s) dans son rapport annuel </w:t>
      </w:r>
      <w:r w:rsidR="00AD29CA" w:rsidRPr="00AC76D0">
        <w:rPr>
          <w:rFonts w:ascii="Book Antiqua" w:hAnsi="Book Antiqua"/>
          <w:sz w:val="24"/>
          <w:szCs w:val="24"/>
        </w:rPr>
        <w:t>et/</w:t>
      </w:r>
      <w:r w:rsidRPr="00AC76D0">
        <w:rPr>
          <w:rFonts w:ascii="Book Antiqua" w:hAnsi="Book Antiqua"/>
          <w:sz w:val="24"/>
          <w:szCs w:val="24"/>
        </w:rPr>
        <w:t>ou rapport RSE le plus récent.</w:t>
      </w:r>
      <w:r w:rsidR="00413E50" w:rsidRPr="00AC76D0">
        <w:rPr>
          <w:rFonts w:ascii="Book Antiqua" w:hAnsi="Book Antiqua"/>
          <w:sz w:val="24"/>
          <w:szCs w:val="24"/>
        </w:rPr>
        <w:t xml:space="preserve"> </w:t>
      </w:r>
      <w:r w:rsidR="00C108D2" w:rsidRPr="00AC76D0">
        <w:rPr>
          <w:rFonts w:ascii="Book Antiqua" w:hAnsi="Book Antiqua"/>
          <w:sz w:val="24"/>
          <w:szCs w:val="24"/>
        </w:rPr>
        <w:t>Au niveau des fonds et des univers (santé et robotique), la donnée calculée correspond au nombre d’émetteurs positifs (« Oui »), en pourcentage du nombre total d’émetteurs composant le fonds ou l’univers d’investissement.</w:t>
      </w:r>
    </w:p>
    <w:p w14:paraId="5E44F98B" w14:textId="437683A3" w:rsidR="00FC0C9C" w:rsidRPr="00AC76D0" w:rsidRDefault="00FC0C9C" w:rsidP="00FC0C9C">
      <w:pPr>
        <w:jc w:val="both"/>
        <w:rPr>
          <w:rFonts w:ascii="Book Antiqua" w:hAnsi="Book Antiqua"/>
          <w:sz w:val="24"/>
          <w:szCs w:val="24"/>
        </w:rPr>
      </w:pPr>
      <w:r w:rsidRPr="00AC76D0">
        <w:rPr>
          <w:rFonts w:ascii="Book Antiqua" w:hAnsi="Book Antiqua"/>
          <w:sz w:val="24"/>
          <w:szCs w:val="24"/>
        </w:rPr>
        <w:t>Les données brutes sont extraites de Bloomberg qui se base sur des informations publiques et déclaratives des émetteurs.</w:t>
      </w:r>
    </w:p>
    <w:p w14:paraId="49FB47FF" w14:textId="77777777" w:rsidR="004C50F8" w:rsidRPr="00AC76D0" w:rsidRDefault="004C50F8" w:rsidP="00046EF4">
      <w:pPr>
        <w:jc w:val="both"/>
        <w:rPr>
          <w:rFonts w:ascii="Book Antiqua" w:hAnsi="Book Antiqua"/>
          <w:b/>
          <w:bCs/>
          <w:sz w:val="24"/>
          <w:szCs w:val="24"/>
        </w:rPr>
      </w:pPr>
    </w:p>
    <w:p w14:paraId="00EA79D3" w14:textId="6808B47A" w:rsidR="00DB7747" w:rsidRPr="00AC76D0" w:rsidRDefault="00046EF4" w:rsidP="00046EF4">
      <w:pPr>
        <w:jc w:val="both"/>
        <w:rPr>
          <w:rFonts w:ascii="Book Antiqua" w:hAnsi="Book Antiqua"/>
          <w:b/>
          <w:bCs/>
          <w:sz w:val="24"/>
          <w:szCs w:val="24"/>
        </w:rPr>
      </w:pPr>
      <w:r w:rsidRPr="00AC76D0">
        <w:rPr>
          <w:rFonts w:ascii="Book Antiqua" w:hAnsi="Book Antiqua"/>
          <w:b/>
          <w:bCs/>
          <w:sz w:val="24"/>
          <w:szCs w:val="24"/>
        </w:rPr>
        <w:t>S</w:t>
      </w:r>
      <w:r w:rsidR="00DB7747" w:rsidRPr="00AC76D0">
        <w:rPr>
          <w:rFonts w:ascii="Book Antiqua" w:hAnsi="Book Antiqua"/>
          <w:b/>
          <w:bCs/>
          <w:sz w:val="24"/>
          <w:szCs w:val="24"/>
        </w:rPr>
        <w:t>ignature des UNGC (</w:t>
      </w:r>
      <w:r w:rsidR="00B421EB" w:rsidRPr="00AC76D0">
        <w:rPr>
          <w:rFonts w:ascii="Book Antiqua" w:hAnsi="Book Antiqua"/>
          <w:b/>
          <w:bCs/>
          <w:sz w:val="24"/>
          <w:szCs w:val="24"/>
        </w:rPr>
        <w:t xml:space="preserve">« United Nations Global Compact » ou </w:t>
      </w:r>
      <w:r w:rsidR="00DB7747" w:rsidRPr="00AC76D0">
        <w:rPr>
          <w:rFonts w:ascii="Book Antiqua" w:hAnsi="Book Antiqua"/>
          <w:b/>
          <w:bCs/>
          <w:sz w:val="24"/>
          <w:szCs w:val="24"/>
        </w:rPr>
        <w:t>Pacte Mondial des Nations Unies</w:t>
      </w:r>
      <w:r w:rsidR="00B421EB" w:rsidRPr="00AC76D0">
        <w:rPr>
          <w:rFonts w:ascii="Book Antiqua" w:hAnsi="Book Antiqua"/>
          <w:b/>
          <w:bCs/>
          <w:sz w:val="24"/>
          <w:szCs w:val="24"/>
        </w:rPr>
        <w:t xml:space="preserve"> en français</w:t>
      </w:r>
      <w:r w:rsidR="00DB7747" w:rsidRPr="00AC76D0">
        <w:rPr>
          <w:rFonts w:ascii="Book Antiqua" w:hAnsi="Book Antiqua"/>
          <w:b/>
          <w:bCs/>
          <w:sz w:val="24"/>
          <w:szCs w:val="24"/>
        </w:rPr>
        <w:t>)</w:t>
      </w:r>
    </w:p>
    <w:p w14:paraId="3B8E88D2" w14:textId="5A54487E" w:rsidR="004E6EE4" w:rsidRPr="00AC76D0" w:rsidRDefault="004E6EE4" w:rsidP="00046EF4">
      <w:pPr>
        <w:jc w:val="both"/>
        <w:rPr>
          <w:rFonts w:ascii="Book Antiqua" w:hAnsi="Book Antiqua"/>
          <w:sz w:val="24"/>
          <w:szCs w:val="24"/>
        </w:rPr>
      </w:pPr>
      <w:r w:rsidRPr="00AC76D0">
        <w:rPr>
          <w:rFonts w:ascii="Book Antiqua" w:hAnsi="Book Antiqua"/>
          <w:sz w:val="24"/>
          <w:szCs w:val="24"/>
        </w:rPr>
        <w:t xml:space="preserve">Ce critère indique si l’émetteur est membre signataire (ou non) </w:t>
      </w:r>
      <w:r w:rsidR="00B421EB" w:rsidRPr="00AC76D0">
        <w:rPr>
          <w:rFonts w:ascii="Book Antiqua" w:hAnsi="Book Antiqua"/>
          <w:sz w:val="24"/>
          <w:szCs w:val="24"/>
        </w:rPr>
        <w:t>du Pacte Mondial des Nations Unies (ou UNGC – « United Nations Global Compact » en anglais). Devenir signataire implique pour l’émetteur un engagement d’intégration des 10 principes d</w:t>
      </w:r>
      <w:r w:rsidR="008F444A" w:rsidRPr="00AC76D0">
        <w:rPr>
          <w:rFonts w:ascii="Book Antiqua" w:hAnsi="Book Antiqua"/>
          <w:sz w:val="24"/>
          <w:szCs w:val="24"/>
        </w:rPr>
        <w:t xml:space="preserve">u Pacte Mondial des Nations Unies </w:t>
      </w:r>
      <w:r w:rsidR="00B421EB" w:rsidRPr="00AC76D0">
        <w:rPr>
          <w:rFonts w:ascii="Book Antiqua" w:hAnsi="Book Antiqua"/>
          <w:sz w:val="24"/>
          <w:szCs w:val="24"/>
        </w:rPr>
        <w:t>à sa stratégie, sa culture et ses activités. Celui-ci s’engage également à rendre compte de cette intégration à travers un document appelé « Communication sur le Progrès » (COP) et publié chaque année.</w:t>
      </w:r>
    </w:p>
    <w:p w14:paraId="1B7B4B90" w14:textId="2EEA5B89" w:rsidR="00B83A53" w:rsidRPr="00AC76D0" w:rsidRDefault="00B83A53" w:rsidP="00046EF4">
      <w:pPr>
        <w:jc w:val="both"/>
        <w:rPr>
          <w:rFonts w:ascii="Book Antiqua" w:hAnsi="Book Antiqua"/>
          <w:sz w:val="24"/>
          <w:szCs w:val="24"/>
        </w:rPr>
      </w:pPr>
    </w:p>
    <w:p w14:paraId="6FC6503D" w14:textId="1C35A617" w:rsidR="003E5901" w:rsidRPr="00AC76D0" w:rsidRDefault="003E5901" w:rsidP="00046EF4">
      <w:pPr>
        <w:jc w:val="both"/>
        <w:rPr>
          <w:rFonts w:ascii="Book Antiqua" w:hAnsi="Book Antiqua"/>
          <w:sz w:val="24"/>
          <w:szCs w:val="24"/>
        </w:rPr>
      </w:pPr>
      <w:r w:rsidRPr="00AC76D0">
        <w:rPr>
          <w:rFonts w:ascii="Book Antiqua" w:hAnsi="Book Antiqua"/>
          <w:noProof/>
        </w:rPr>
        <w:drawing>
          <wp:inline distT="0" distB="0" distL="0" distR="0" wp14:anchorId="2FCFFD22" wp14:editId="67DA1186">
            <wp:extent cx="6192520" cy="385254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2520" cy="3852545"/>
                    </a:xfrm>
                    <a:prstGeom prst="rect">
                      <a:avLst/>
                    </a:prstGeom>
                    <a:noFill/>
                    <a:ln>
                      <a:noFill/>
                    </a:ln>
                  </pic:spPr>
                </pic:pic>
              </a:graphicData>
            </a:graphic>
          </wp:inline>
        </w:drawing>
      </w:r>
    </w:p>
    <w:p w14:paraId="00A6A17B" w14:textId="3F844480" w:rsidR="00C108D2" w:rsidRPr="00AC76D0" w:rsidRDefault="00C108D2" w:rsidP="00046EF4">
      <w:pPr>
        <w:jc w:val="both"/>
        <w:rPr>
          <w:rFonts w:ascii="Book Antiqua" w:hAnsi="Book Antiqua"/>
          <w:sz w:val="24"/>
          <w:szCs w:val="24"/>
        </w:rPr>
      </w:pPr>
      <w:r w:rsidRPr="00AC76D0">
        <w:rPr>
          <w:rFonts w:ascii="Book Antiqua" w:hAnsi="Book Antiqua"/>
          <w:sz w:val="24"/>
          <w:szCs w:val="24"/>
        </w:rPr>
        <w:t>Méthodologie : un émetteur est négatif (« Non ») si celui-ci n’est pas signataire des UNGC. Au niveau des fonds et des univers (santé et robotique), la donnée calculée correspond au nombre d’émetteurs positifs (« Oui »), en pourcentage du nombre total d’émetteurs composant le fonds ou l’univers d’investissement.</w:t>
      </w:r>
    </w:p>
    <w:p w14:paraId="5B45F2C9" w14:textId="34072F56" w:rsidR="00DD289F" w:rsidRPr="00AC76D0" w:rsidRDefault="00FC0C9C" w:rsidP="00046EF4">
      <w:pPr>
        <w:jc w:val="both"/>
        <w:rPr>
          <w:rFonts w:ascii="Book Antiqua" w:hAnsi="Book Antiqua"/>
          <w:sz w:val="24"/>
          <w:szCs w:val="24"/>
        </w:rPr>
      </w:pPr>
      <w:r w:rsidRPr="00AC76D0">
        <w:rPr>
          <w:rFonts w:ascii="Book Antiqua" w:hAnsi="Book Antiqua"/>
          <w:sz w:val="24"/>
          <w:szCs w:val="24"/>
        </w:rPr>
        <w:t>Les données brutes sont extraites de Bloomberg qui se base sur des informations publiques et déclaratives des émetteurs.</w:t>
      </w:r>
    </w:p>
    <w:p w14:paraId="12AFC8AB" w14:textId="77777777" w:rsidR="00FC0C9C" w:rsidRPr="00AC76D0" w:rsidRDefault="00FC0C9C" w:rsidP="00046EF4">
      <w:pPr>
        <w:jc w:val="both"/>
        <w:rPr>
          <w:rFonts w:ascii="Book Antiqua" w:hAnsi="Book Antiqua"/>
        </w:rPr>
      </w:pPr>
    </w:p>
    <w:p w14:paraId="6A75C94D" w14:textId="07AE87A8" w:rsidR="00DB7747" w:rsidRPr="00AC76D0" w:rsidRDefault="00DB7747" w:rsidP="00DB7747">
      <w:pPr>
        <w:pStyle w:val="Titre2"/>
      </w:pPr>
      <w:bookmarkStart w:id="5" w:name="_Toc94636687"/>
      <w:r w:rsidRPr="00AC76D0">
        <w:t>Critères de gouvernance</w:t>
      </w:r>
      <w:bookmarkEnd w:id="5"/>
    </w:p>
    <w:p w14:paraId="78F830E8" w14:textId="77777777" w:rsidR="00032F45" w:rsidRPr="00AC76D0" w:rsidRDefault="00032F45" w:rsidP="00032F45">
      <w:pPr>
        <w:jc w:val="both"/>
        <w:rPr>
          <w:rFonts w:ascii="Book Antiqua" w:hAnsi="Book Antiqua"/>
          <w:b/>
          <w:bCs/>
          <w:sz w:val="24"/>
          <w:szCs w:val="24"/>
        </w:rPr>
      </w:pPr>
      <w:r w:rsidRPr="00AC76D0">
        <w:rPr>
          <w:rFonts w:ascii="Book Antiqua" w:hAnsi="Book Antiqua"/>
          <w:b/>
          <w:bCs/>
          <w:sz w:val="24"/>
          <w:szCs w:val="24"/>
        </w:rPr>
        <w:t>P</w:t>
      </w:r>
      <w:r w:rsidR="00DB7747" w:rsidRPr="00AC76D0">
        <w:rPr>
          <w:rFonts w:ascii="Book Antiqua" w:hAnsi="Book Antiqua"/>
          <w:b/>
          <w:bCs/>
          <w:sz w:val="24"/>
          <w:szCs w:val="24"/>
        </w:rPr>
        <w:t>ourcentage de femmes au sein du conseil d’administration (%) </w:t>
      </w:r>
    </w:p>
    <w:p w14:paraId="15DCED75" w14:textId="78DD21E3" w:rsidR="00032F45" w:rsidRPr="00AC76D0" w:rsidRDefault="00032F45" w:rsidP="00032F45">
      <w:pPr>
        <w:jc w:val="both"/>
        <w:rPr>
          <w:rFonts w:ascii="Book Antiqua" w:hAnsi="Book Antiqua"/>
          <w:sz w:val="24"/>
          <w:szCs w:val="24"/>
        </w:rPr>
      </w:pPr>
      <w:r w:rsidRPr="00AC76D0">
        <w:rPr>
          <w:rFonts w:ascii="Book Antiqua" w:hAnsi="Book Antiqua"/>
          <w:sz w:val="24"/>
          <w:szCs w:val="24"/>
        </w:rPr>
        <w:t xml:space="preserve">Ce critère </w:t>
      </w:r>
      <w:r w:rsidR="000A0B22" w:rsidRPr="00AC76D0">
        <w:rPr>
          <w:rFonts w:ascii="Book Antiqua" w:hAnsi="Book Antiqua"/>
          <w:sz w:val="24"/>
          <w:szCs w:val="24"/>
        </w:rPr>
        <w:t xml:space="preserve">indique le taux (%) de féminisation au sein du conseil d’administration de l’émetteur. Pour les émetteurs dotés d’un conseil d’administration et d’un conseil </w:t>
      </w:r>
      <w:r w:rsidR="00375ECB" w:rsidRPr="00AC76D0">
        <w:rPr>
          <w:rFonts w:ascii="Book Antiqua" w:hAnsi="Book Antiqua"/>
          <w:sz w:val="24"/>
          <w:szCs w:val="24"/>
        </w:rPr>
        <w:t>de surveillance</w:t>
      </w:r>
      <w:r w:rsidR="000A0B22" w:rsidRPr="00AC76D0">
        <w:rPr>
          <w:rFonts w:ascii="Book Antiqua" w:hAnsi="Book Antiqua"/>
          <w:sz w:val="24"/>
          <w:szCs w:val="24"/>
        </w:rPr>
        <w:t>, le taux de féminisation correspond à celui du conseil de surveillance.</w:t>
      </w:r>
    </w:p>
    <w:p w14:paraId="589D2A7B" w14:textId="335EEB49" w:rsidR="000A0B22" w:rsidRPr="00AC76D0" w:rsidRDefault="000A0B22" w:rsidP="00032F45">
      <w:pPr>
        <w:jc w:val="both"/>
        <w:rPr>
          <w:rFonts w:ascii="Book Antiqua" w:hAnsi="Book Antiqua"/>
          <w:sz w:val="24"/>
          <w:szCs w:val="24"/>
        </w:rPr>
      </w:pPr>
      <w:r w:rsidRPr="00AC76D0">
        <w:rPr>
          <w:rFonts w:ascii="Book Antiqua" w:hAnsi="Book Antiqua"/>
          <w:sz w:val="24"/>
          <w:szCs w:val="24"/>
        </w:rPr>
        <w:t>Méthodologie : nombre de femmes / nombre de membres au conseil d’administration (ou conseil de surveillance, le cas échéant).</w:t>
      </w:r>
      <w:r w:rsidR="00C108D2" w:rsidRPr="00AC76D0">
        <w:rPr>
          <w:rFonts w:ascii="Book Antiqua" w:hAnsi="Book Antiqua"/>
          <w:sz w:val="24"/>
          <w:szCs w:val="24"/>
        </w:rPr>
        <w:t xml:space="preserve"> Au niveau des fonds Trecento Santé ISR et Trecento Robotique</w:t>
      </w:r>
      <w:r w:rsidR="00AF5223" w:rsidRPr="00AC76D0">
        <w:rPr>
          <w:rFonts w:ascii="Book Antiqua" w:hAnsi="Book Antiqua"/>
          <w:sz w:val="24"/>
          <w:szCs w:val="24"/>
        </w:rPr>
        <w:t xml:space="preserve"> ISR</w:t>
      </w:r>
      <w:r w:rsidR="00C108D2" w:rsidRPr="00AC76D0">
        <w:rPr>
          <w:rFonts w:ascii="Book Antiqua" w:hAnsi="Book Antiqua"/>
          <w:sz w:val="24"/>
          <w:szCs w:val="24"/>
        </w:rPr>
        <w:t>, la donnée calculée correspond à la somme de l’indicateur</w:t>
      </w:r>
      <w:r w:rsidR="00C21662" w:rsidRPr="00AC76D0">
        <w:rPr>
          <w:rFonts w:ascii="Book Antiqua" w:hAnsi="Book Antiqua"/>
          <w:sz w:val="24"/>
          <w:szCs w:val="24"/>
        </w:rPr>
        <w:t xml:space="preserve"> pondéré par </w:t>
      </w:r>
      <w:r w:rsidR="00C108D2" w:rsidRPr="00AC76D0">
        <w:rPr>
          <w:rFonts w:ascii="Book Antiqua" w:hAnsi="Book Antiqua"/>
          <w:sz w:val="24"/>
          <w:szCs w:val="24"/>
        </w:rPr>
        <w:t>le poids de chaque émetteur</w:t>
      </w:r>
      <w:r w:rsidR="00C21662" w:rsidRPr="00AC76D0">
        <w:rPr>
          <w:rFonts w:ascii="Book Antiqua" w:hAnsi="Book Antiqua"/>
          <w:sz w:val="24"/>
          <w:szCs w:val="24"/>
        </w:rPr>
        <w:t xml:space="preserve"> (</w:t>
      </w:r>
      <w:r w:rsidR="00C108D2" w:rsidRPr="00AC76D0">
        <w:rPr>
          <w:rFonts w:ascii="Book Antiqua" w:hAnsi="Book Antiqua"/>
          <w:sz w:val="24"/>
          <w:szCs w:val="24"/>
        </w:rPr>
        <w:t>en pourcentage de l’actif net</w:t>
      </w:r>
      <w:r w:rsidR="00C21662" w:rsidRPr="00AC76D0">
        <w:rPr>
          <w:rFonts w:ascii="Book Antiqua" w:hAnsi="Book Antiqua"/>
          <w:sz w:val="24"/>
          <w:szCs w:val="24"/>
        </w:rPr>
        <w:t xml:space="preserve">). Pour les univers Santé et Robotique, la donnée calculée correspond à la somme de l’indicateur pondéré par </w:t>
      </w:r>
      <w:r w:rsidR="00C108D2" w:rsidRPr="00AC76D0">
        <w:rPr>
          <w:rFonts w:ascii="Book Antiqua" w:hAnsi="Book Antiqua"/>
          <w:sz w:val="24"/>
          <w:szCs w:val="24"/>
        </w:rPr>
        <w:t>la capitalisation boursière en euros de chaque émetteur.</w:t>
      </w:r>
    </w:p>
    <w:p w14:paraId="1C3066BD" w14:textId="51EE7B30" w:rsidR="00B83A53" w:rsidRPr="00AC76D0" w:rsidRDefault="00FC0C9C" w:rsidP="00032F45">
      <w:pPr>
        <w:jc w:val="both"/>
        <w:rPr>
          <w:rFonts w:ascii="Book Antiqua" w:hAnsi="Book Antiqua"/>
          <w:sz w:val="24"/>
          <w:szCs w:val="24"/>
        </w:rPr>
      </w:pPr>
      <w:r w:rsidRPr="00AC76D0">
        <w:rPr>
          <w:rFonts w:ascii="Book Antiqua" w:hAnsi="Book Antiqua"/>
          <w:sz w:val="24"/>
          <w:szCs w:val="24"/>
        </w:rPr>
        <w:lastRenderedPageBreak/>
        <w:t>Les données brutes sont extraites de Bloomberg qui se base sur des informations publiques et déclaratives des émetteurs.</w:t>
      </w:r>
    </w:p>
    <w:p w14:paraId="44F8B016" w14:textId="77777777" w:rsidR="00FC0C9C" w:rsidRPr="00AC76D0" w:rsidRDefault="00FC0C9C" w:rsidP="00032F45">
      <w:pPr>
        <w:jc w:val="both"/>
        <w:rPr>
          <w:rFonts w:ascii="Book Antiqua" w:hAnsi="Book Antiqua"/>
          <w:b/>
          <w:bCs/>
          <w:sz w:val="24"/>
          <w:szCs w:val="24"/>
        </w:rPr>
      </w:pPr>
    </w:p>
    <w:p w14:paraId="30356050" w14:textId="640E85D0" w:rsidR="00DB7747" w:rsidRPr="00AC76D0" w:rsidRDefault="00032F45" w:rsidP="00032F45">
      <w:pPr>
        <w:jc w:val="both"/>
        <w:rPr>
          <w:rFonts w:ascii="Book Antiqua" w:hAnsi="Book Antiqua"/>
          <w:b/>
          <w:bCs/>
          <w:sz w:val="24"/>
          <w:szCs w:val="24"/>
        </w:rPr>
      </w:pPr>
      <w:r w:rsidRPr="00AC76D0">
        <w:rPr>
          <w:rFonts w:ascii="Book Antiqua" w:hAnsi="Book Antiqua"/>
          <w:b/>
          <w:bCs/>
          <w:sz w:val="24"/>
          <w:szCs w:val="24"/>
        </w:rPr>
        <w:t>P</w:t>
      </w:r>
      <w:r w:rsidR="00DB7747" w:rsidRPr="00AC76D0">
        <w:rPr>
          <w:rFonts w:ascii="Book Antiqua" w:hAnsi="Book Antiqua"/>
          <w:b/>
          <w:bCs/>
          <w:sz w:val="24"/>
          <w:szCs w:val="24"/>
        </w:rPr>
        <w:t>ourcentage de membres indépendants siégeant au conseil d’administration (%)</w:t>
      </w:r>
    </w:p>
    <w:p w14:paraId="0C6A70CB" w14:textId="4EF0098E" w:rsidR="00DB7747" w:rsidRPr="00AC76D0" w:rsidRDefault="000A0B22" w:rsidP="006E3760">
      <w:pPr>
        <w:jc w:val="both"/>
        <w:rPr>
          <w:rFonts w:ascii="Book Antiqua" w:hAnsi="Book Antiqua"/>
          <w:sz w:val="24"/>
          <w:szCs w:val="24"/>
        </w:rPr>
      </w:pPr>
      <w:r w:rsidRPr="00AC76D0">
        <w:rPr>
          <w:rFonts w:ascii="Book Antiqua" w:hAnsi="Book Antiqua"/>
          <w:sz w:val="24"/>
          <w:szCs w:val="24"/>
        </w:rPr>
        <w:t xml:space="preserve">Ce critère indique le taux (%) d’indépendance des membres composant le conseil d’administration. </w:t>
      </w:r>
    </w:p>
    <w:p w14:paraId="254E965B" w14:textId="4D8C860C" w:rsidR="000A0B22" w:rsidRPr="00AC76D0" w:rsidRDefault="000A0B22" w:rsidP="006E3760">
      <w:pPr>
        <w:jc w:val="both"/>
        <w:rPr>
          <w:rFonts w:ascii="Book Antiqua" w:hAnsi="Book Antiqua"/>
          <w:sz w:val="24"/>
          <w:szCs w:val="24"/>
        </w:rPr>
      </w:pPr>
      <w:r w:rsidRPr="00AC76D0">
        <w:rPr>
          <w:rFonts w:ascii="Book Antiqua" w:hAnsi="Book Antiqua"/>
          <w:sz w:val="24"/>
          <w:szCs w:val="24"/>
        </w:rPr>
        <w:t xml:space="preserve">Méthodologie : nombre de membres considérés comme indépendants / </w:t>
      </w:r>
      <w:r w:rsidR="002F22F7" w:rsidRPr="00AC76D0">
        <w:rPr>
          <w:rFonts w:ascii="Book Antiqua" w:hAnsi="Book Antiqua"/>
          <w:sz w:val="24"/>
          <w:szCs w:val="24"/>
        </w:rPr>
        <w:t>nombre de membres composant le conseil d’administration</w:t>
      </w:r>
      <w:r w:rsidR="006C281F" w:rsidRPr="00AC76D0">
        <w:rPr>
          <w:rFonts w:ascii="Book Antiqua" w:hAnsi="Book Antiqua"/>
          <w:sz w:val="24"/>
          <w:szCs w:val="24"/>
        </w:rPr>
        <w:t>.</w:t>
      </w:r>
      <w:r w:rsidR="00C108D2" w:rsidRPr="00AC76D0">
        <w:rPr>
          <w:rFonts w:ascii="Book Antiqua" w:hAnsi="Book Antiqua"/>
          <w:sz w:val="24"/>
          <w:szCs w:val="24"/>
        </w:rPr>
        <w:t xml:space="preserve"> Au niveau des fonds Trecento Santé ISR et Trecento Robotique</w:t>
      </w:r>
      <w:r w:rsidR="00B63881" w:rsidRPr="00AC76D0">
        <w:rPr>
          <w:rFonts w:ascii="Book Antiqua" w:hAnsi="Book Antiqua"/>
          <w:sz w:val="24"/>
          <w:szCs w:val="24"/>
        </w:rPr>
        <w:t xml:space="preserve"> ISR</w:t>
      </w:r>
      <w:r w:rsidR="00C108D2" w:rsidRPr="00AC76D0">
        <w:rPr>
          <w:rFonts w:ascii="Book Antiqua" w:hAnsi="Book Antiqua"/>
          <w:sz w:val="24"/>
          <w:szCs w:val="24"/>
        </w:rPr>
        <w:t>, la donnée calculée correspond à la somme de l’indicateur</w:t>
      </w:r>
      <w:r w:rsidR="00C21662" w:rsidRPr="00AC76D0">
        <w:rPr>
          <w:rFonts w:ascii="Book Antiqua" w:hAnsi="Book Antiqua"/>
          <w:sz w:val="24"/>
          <w:szCs w:val="24"/>
        </w:rPr>
        <w:t xml:space="preserve"> pondéré par </w:t>
      </w:r>
      <w:r w:rsidR="00C108D2" w:rsidRPr="00AC76D0">
        <w:rPr>
          <w:rFonts w:ascii="Book Antiqua" w:hAnsi="Book Antiqua"/>
          <w:sz w:val="24"/>
          <w:szCs w:val="24"/>
        </w:rPr>
        <w:t>l</w:t>
      </w:r>
      <w:r w:rsidR="00C21662" w:rsidRPr="00AC76D0">
        <w:rPr>
          <w:rFonts w:ascii="Book Antiqua" w:hAnsi="Book Antiqua"/>
          <w:sz w:val="24"/>
          <w:szCs w:val="24"/>
        </w:rPr>
        <w:t>e</w:t>
      </w:r>
      <w:r w:rsidR="00C108D2" w:rsidRPr="00AC76D0">
        <w:rPr>
          <w:rFonts w:ascii="Book Antiqua" w:hAnsi="Book Antiqua"/>
          <w:sz w:val="24"/>
          <w:szCs w:val="24"/>
        </w:rPr>
        <w:t xml:space="preserve"> poids de chaque émetteur</w:t>
      </w:r>
      <w:r w:rsidR="00C21662" w:rsidRPr="00AC76D0">
        <w:rPr>
          <w:rFonts w:ascii="Book Antiqua" w:hAnsi="Book Antiqua"/>
          <w:sz w:val="24"/>
          <w:szCs w:val="24"/>
        </w:rPr>
        <w:t xml:space="preserve"> (en pourcentage de l’actif net total du fonds). Pour les univers Santé et Robotique, la donnée calculée correspond à la somme de l’indicateur pondéré </w:t>
      </w:r>
      <w:r w:rsidR="00C108D2" w:rsidRPr="00AC76D0">
        <w:rPr>
          <w:rFonts w:ascii="Book Antiqua" w:hAnsi="Book Antiqua"/>
          <w:sz w:val="24"/>
          <w:szCs w:val="24"/>
        </w:rPr>
        <w:t>par la capitalisation boursière en euros de chaque émetteur.</w:t>
      </w:r>
    </w:p>
    <w:p w14:paraId="32F200C4" w14:textId="1144897C" w:rsidR="00543D56" w:rsidRPr="00AC76D0" w:rsidRDefault="00FC0C9C" w:rsidP="006E3760">
      <w:pPr>
        <w:jc w:val="both"/>
        <w:rPr>
          <w:rFonts w:ascii="Book Antiqua" w:hAnsi="Book Antiqua"/>
          <w:sz w:val="24"/>
          <w:szCs w:val="24"/>
        </w:rPr>
      </w:pPr>
      <w:r w:rsidRPr="00AC76D0">
        <w:rPr>
          <w:rFonts w:ascii="Book Antiqua" w:hAnsi="Book Antiqua"/>
          <w:sz w:val="24"/>
          <w:szCs w:val="24"/>
        </w:rPr>
        <w:t>Les données brutes sont extraites de Bloomberg qui se base sur des informations publiques et déclaratives des émetteurs.</w:t>
      </w:r>
    </w:p>
    <w:p w14:paraId="0D5B0176" w14:textId="77777777" w:rsidR="00FC0C9C" w:rsidRPr="00AC76D0" w:rsidRDefault="00FC0C9C" w:rsidP="006E3760">
      <w:pPr>
        <w:jc w:val="both"/>
        <w:rPr>
          <w:rFonts w:ascii="Book Antiqua" w:hAnsi="Book Antiqua"/>
          <w:sz w:val="24"/>
          <w:szCs w:val="24"/>
        </w:rPr>
      </w:pPr>
    </w:p>
    <w:p w14:paraId="46618DE4" w14:textId="77777777" w:rsidR="00C73150" w:rsidRPr="00AC76D0" w:rsidRDefault="00C73150">
      <w:pPr>
        <w:spacing w:after="0" w:line="240" w:lineRule="auto"/>
        <w:rPr>
          <w:rFonts w:ascii="Book Antiqua" w:hAnsi="Book Antiqua"/>
          <w:b/>
          <w:color w:val="948A54"/>
          <w:sz w:val="32"/>
          <w:szCs w:val="32"/>
          <w:u w:val="single"/>
        </w:rPr>
      </w:pPr>
      <w:r w:rsidRPr="00AC76D0">
        <w:rPr>
          <w:rFonts w:ascii="Book Antiqua" w:hAnsi="Book Antiqua"/>
        </w:rPr>
        <w:br w:type="page"/>
      </w:r>
    </w:p>
    <w:p w14:paraId="78AA9272" w14:textId="31167A60" w:rsidR="00DD18CD" w:rsidRPr="00AC76D0" w:rsidRDefault="006E3760" w:rsidP="006B2C54">
      <w:pPr>
        <w:pStyle w:val="Titre1"/>
      </w:pPr>
      <w:bookmarkStart w:id="6" w:name="_Toc94636688"/>
      <w:r w:rsidRPr="00AC76D0">
        <w:lastRenderedPageBreak/>
        <w:t>Résultats</w:t>
      </w:r>
      <w:r w:rsidR="00352BCB" w:rsidRPr="00AC76D0">
        <w:t xml:space="preserve"> de la mesure de performance ESG</w:t>
      </w:r>
      <w:bookmarkEnd w:id="6"/>
      <w:r w:rsidR="00DD18CD" w:rsidRPr="00AC76D0">
        <w:t xml:space="preserve"> </w:t>
      </w:r>
    </w:p>
    <w:p w14:paraId="42C10C83" w14:textId="38B819C1" w:rsidR="00DD18CD" w:rsidRPr="00AC76D0" w:rsidRDefault="00352BCB" w:rsidP="006B2C54">
      <w:pPr>
        <w:pStyle w:val="Titre2"/>
        <w:rPr>
          <w:sz w:val="24"/>
          <w:szCs w:val="24"/>
        </w:rPr>
      </w:pPr>
      <w:bookmarkStart w:id="7" w:name="_Toc94636689"/>
      <w:r w:rsidRPr="00AC76D0">
        <w:t>Trecento Santé</w:t>
      </w:r>
      <w:r w:rsidR="005272E4" w:rsidRPr="00AC76D0">
        <w:t xml:space="preserve"> ISR</w:t>
      </w:r>
      <w:r w:rsidR="001C7854" w:rsidRPr="00AC76D0">
        <w:t xml:space="preserve"> </w:t>
      </w:r>
      <w:r w:rsidR="001C7854" w:rsidRPr="00AC76D0">
        <w:rPr>
          <w:sz w:val="24"/>
          <w:szCs w:val="24"/>
        </w:rPr>
        <w:t>(données au 25/0</w:t>
      </w:r>
      <w:r w:rsidR="00EA4C9F" w:rsidRPr="00AC76D0">
        <w:rPr>
          <w:sz w:val="24"/>
          <w:szCs w:val="24"/>
        </w:rPr>
        <w:t>1</w:t>
      </w:r>
      <w:r w:rsidR="001C7854" w:rsidRPr="00AC76D0">
        <w:rPr>
          <w:sz w:val="24"/>
          <w:szCs w:val="24"/>
        </w:rPr>
        <w:t>/202</w:t>
      </w:r>
      <w:r w:rsidR="00EA4C9F" w:rsidRPr="00AC76D0">
        <w:rPr>
          <w:sz w:val="24"/>
          <w:szCs w:val="24"/>
        </w:rPr>
        <w:t>2</w:t>
      </w:r>
      <w:r w:rsidR="001C7854" w:rsidRPr="00AC76D0">
        <w:rPr>
          <w:sz w:val="24"/>
          <w:szCs w:val="24"/>
        </w:rPr>
        <w:t>)</w:t>
      </w:r>
      <w:bookmarkEnd w:id="7"/>
    </w:p>
    <w:p w14:paraId="5AE9A655" w14:textId="7D17BD39" w:rsidR="00EA4C9F" w:rsidRPr="00AC76D0" w:rsidRDefault="00EA4C9F" w:rsidP="00EA4C9F">
      <w:pPr>
        <w:rPr>
          <w:rFonts w:ascii="Book Antiqua" w:hAnsi="Book Antiqua"/>
          <w:b/>
          <w:bCs/>
        </w:rPr>
      </w:pPr>
      <w:r w:rsidRPr="00AC76D0">
        <w:rPr>
          <w:rFonts w:ascii="Book Antiqua" w:hAnsi="Book Antiqua"/>
          <w:b/>
          <w:bCs/>
        </w:rPr>
        <w:t>Trecento Santé ISR - 2021</w:t>
      </w:r>
    </w:p>
    <w:p w14:paraId="1BA7751C" w14:textId="18A9B5FD" w:rsidR="00EA4C9F" w:rsidRPr="00AC76D0" w:rsidRDefault="00EA4C9F" w:rsidP="0047509C">
      <w:pPr>
        <w:rPr>
          <w:rFonts w:ascii="Book Antiqua" w:hAnsi="Book Antiqua"/>
          <w:b/>
          <w:bCs/>
        </w:rPr>
      </w:pPr>
      <w:r w:rsidRPr="00AC76D0">
        <w:rPr>
          <w:rFonts w:ascii="Book Antiqua" w:hAnsi="Book Antiqua"/>
          <w:noProof/>
        </w:rPr>
        <w:drawing>
          <wp:inline distT="0" distB="0" distL="0" distR="0" wp14:anchorId="41B75F96" wp14:editId="3226B263">
            <wp:extent cx="6192520" cy="310261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2520" cy="3102610"/>
                    </a:xfrm>
                    <a:prstGeom prst="rect">
                      <a:avLst/>
                    </a:prstGeom>
                    <a:noFill/>
                    <a:ln>
                      <a:noFill/>
                    </a:ln>
                  </pic:spPr>
                </pic:pic>
              </a:graphicData>
            </a:graphic>
          </wp:inline>
        </w:drawing>
      </w:r>
    </w:p>
    <w:p w14:paraId="18B7B6B9" w14:textId="77777777" w:rsidR="00EA4C9F" w:rsidRPr="00AC76D0" w:rsidRDefault="00EA4C9F" w:rsidP="0047509C">
      <w:pPr>
        <w:rPr>
          <w:rFonts w:ascii="Book Antiqua" w:hAnsi="Book Antiqua"/>
          <w:b/>
          <w:bCs/>
        </w:rPr>
      </w:pPr>
    </w:p>
    <w:p w14:paraId="0845C32D" w14:textId="02447E8E" w:rsidR="0047509C" w:rsidRPr="00AC76D0" w:rsidRDefault="002D0428" w:rsidP="0047509C">
      <w:pPr>
        <w:rPr>
          <w:rFonts w:ascii="Book Antiqua" w:hAnsi="Book Antiqua"/>
          <w:b/>
          <w:bCs/>
        </w:rPr>
      </w:pPr>
      <w:r w:rsidRPr="00AC76D0">
        <w:rPr>
          <w:rFonts w:ascii="Book Antiqua" w:hAnsi="Book Antiqua"/>
          <w:b/>
          <w:bCs/>
        </w:rPr>
        <w:t>Trecento Santé ISR - 2020</w:t>
      </w:r>
    </w:p>
    <w:p w14:paraId="21C57A80" w14:textId="62471622" w:rsidR="00BA6E65" w:rsidRPr="00AC76D0" w:rsidRDefault="00BA6E65" w:rsidP="00BA6E65">
      <w:pPr>
        <w:jc w:val="both"/>
        <w:rPr>
          <w:rFonts w:ascii="Book Antiqua" w:hAnsi="Book Antiqua"/>
        </w:rPr>
      </w:pPr>
      <w:r w:rsidRPr="00AC76D0">
        <w:rPr>
          <w:rFonts w:ascii="Book Antiqua" w:hAnsi="Book Antiqua"/>
          <w:noProof/>
        </w:rPr>
        <w:drawing>
          <wp:inline distT="0" distB="0" distL="0" distR="0" wp14:anchorId="76646096" wp14:editId="4B354819">
            <wp:extent cx="6192520" cy="2957195"/>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2520" cy="2957195"/>
                    </a:xfrm>
                    <a:prstGeom prst="rect">
                      <a:avLst/>
                    </a:prstGeom>
                    <a:noFill/>
                    <a:ln>
                      <a:noFill/>
                    </a:ln>
                  </pic:spPr>
                </pic:pic>
              </a:graphicData>
            </a:graphic>
          </wp:inline>
        </w:drawing>
      </w:r>
    </w:p>
    <w:p w14:paraId="4D3A0573" w14:textId="77777777" w:rsidR="00EA4C9F" w:rsidRPr="00AC76D0" w:rsidRDefault="00EA4C9F" w:rsidP="00BA6E65">
      <w:pPr>
        <w:jc w:val="both"/>
        <w:rPr>
          <w:rFonts w:ascii="Book Antiqua" w:hAnsi="Book Antiqua"/>
          <w:b/>
          <w:bCs/>
        </w:rPr>
      </w:pPr>
    </w:p>
    <w:p w14:paraId="226E8A8B" w14:textId="77777777" w:rsidR="00EA4C9F" w:rsidRPr="00AC76D0" w:rsidRDefault="00EA4C9F" w:rsidP="00BA6E65">
      <w:pPr>
        <w:jc w:val="both"/>
        <w:rPr>
          <w:rFonts w:ascii="Book Antiqua" w:hAnsi="Book Antiqua"/>
          <w:b/>
          <w:bCs/>
        </w:rPr>
      </w:pPr>
    </w:p>
    <w:p w14:paraId="0CD9D2D4" w14:textId="77777777" w:rsidR="00EA4C9F" w:rsidRPr="00AC76D0" w:rsidRDefault="00EA4C9F" w:rsidP="00BA6E65">
      <w:pPr>
        <w:jc w:val="both"/>
        <w:rPr>
          <w:rFonts w:ascii="Book Antiqua" w:hAnsi="Book Antiqua"/>
          <w:b/>
          <w:bCs/>
        </w:rPr>
      </w:pPr>
    </w:p>
    <w:p w14:paraId="29DC454D" w14:textId="77777777" w:rsidR="00EA4C9F" w:rsidRPr="00AC76D0" w:rsidRDefault="00EA4C9F" w:rsidP="00BA6E65">
      <w:pPr>
        <w:jc w:val="both"/>
        <w:rPr>
          <w:rFonts w:ascii="Book Antiqua" w:hAnsi="Book Antiqua"/>
          <w:b/>
          <w:bCs/>
        </w:rPr>
      </w:pPr>
    </w:p>
    <w:p w14:paraId="1DF83028" w14:textId="1B79C737" w:rsidR="002D0428" w:rsidRPr="00AC76D0" w:rsidRDefault="002D0428" w:rsidP="00BA6E65">
      <w:pPr>
        <w:jc w:val="both"/>
        <w:rPr>
          <w:rFonts w:ascii="Book Antiqua" w:hAnsi="Book Antiqua"/>
          <w:b/>
          <w:bCs/>
        </w:rPr>
      </w:pPr>
      <w:r w:rsidRPr="00AC76D0">
        <w:rPr>
          <w:rFonts w:ascii="Book Antiqua" w:hAnsi="Book Antiqua"/>
          <w:b/>
          <w:bCs/>
        </w:rPr>
        <w:lastRenderedPageBreak/>
        <w:t>Trecento Santé ISR - 2019</w:t>
      </w:r>
    </w:p>
    <w:p w14:paraId="060EA842" w14:textId="534330B3" w:rsidR="002D0428" w:rsidRPr="00AC76D0" w:rsidRDefault="00BA6E65" w:rsidP="00DD18CD">
      <w:pPr>
        <w:jc w:val="both"/>
        <w:rPr>
          <w:rFonts w:ascii="Book Antiqua" w:hAnsi="Book Antiqua"/>
          <w:bCs/>
          <w:sz w:val="24"/>
          <w:szCs w:val="24"/>
        </w:rPr>
      </w:pPr>
      <w:r w:rsidRPr="00AC76D0">
        <w:rPr>
          <w:rFonts w:ascii="Book Antiqua" w:hAnsi="Book Antiqua"/>
          <w:noProof/>
        </w:rPr>
        <w:drawing>
          <wp:inline distT="0" distB="0" distL="0" distR="0" wp14:anchorId="511D0C47" wp14:editId="3C8904B3">
            <wp:extent cx="6192520" cy="342392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92520" cy="3423920"/>
                    </a:xfrm>
                    <a:prstGeom prst="rect">
                      <a:avLst/>
                    </a:prstGeom>
                    <a:noFill/>
                    <a:ln>
                      <a:noFill/>
                    </a:ln>
                  </pic:spPr>
                </pic:pic>
              </a:graphicData>
            </a:graphic>
          </wp:inline>
        </w:drawing>
      </w:r>
    </w:p>
    <w:p w14:paraId="372E725D" w14:textId="26682D0C" w:rsidR="00145C33" w:rsidRPr="00AC76D0" w:rsidRDefault="00145C33" w:rsidP="00DD18CD">
      <w:pPr>
        <w:jc w:val="both"/>
        <w:rPr>
          <w:rFonts w:ascii="Book Antiqua" w:hAnsi="Book Antiqua"/>
          <w:bCs/>
          <w:sz w:val="24"/>
          <w:szCs w:val="24"/>
        </w:rPr>
      </w:pPr>
    </w:p>
    <w:p w14:paraId="030A887E" w14:textId="4622FB4D" w:rsidR="00364C8D" w:rsidRPr="00AC76D0" w:rsidRDefault="00364C8D" w:rsidP="00DD18CD">
      <w:pPr>
        <w:jc w:val="both"/>
        <w:rPr>
          <w:rFonts w:ascii="Book Antiqua" w:hAnsi="Book Antiqua"/>
          <w:bCs/>
          <w:sz w:val="24"/>
          <w:szCs w:val="24"/>
        </w:rPr>
      </w:pPr>
    </w:p>
    <w:p w14:paraId="3BDEF9F8" w14:textId="1EE566C0" w:rsidR="00364C8D" w:rsidRPr="00AC76D0" w:rsidRDefault="00364C8D" w:rsidP="00364C8D">
      <w:pPr>
        <w:pStyle w:val="Titre2"/>
        <w:numPr>
          <w:ilvl w:val="1"/>
          <w:numId w:val="11"/>
        </w:numPr>
        <w:rPr>
          <w:sz w:val="24"/>
          <w:szCs w:val="24"/>
        </w:rPr>
      </w:pPr>
      <w:bookmarkStart w:id="8" w:name="_Toc94636690"/>
      <w:r w:rsidRPr="00AC76D0">
        <w:t xml:space="preserve">Trecento Robotique ISR </w:t>
      </w:r>
      <w:r w:rsidRPr="00AC76D0">
        <w:rPr>
          <w:sz w:val="24"/>
          <w:szCs w:val="24"/>
        </w:rPr>
        <w:t>(données au 25/0</w:t>
      </w:r>
      <w:r w:rsidR="00EA4C9F" w:rsidRPr="00AC76D0">
        <w:rPr>
          <w:sz w:val="24"/>
          <w:szCs w:val="24"/>
        </w:rPr>
        <w:t>1</w:t>
      </w:r>
      <w:r w:rsidRPr="00AC76D0">
        <w:rPr>
          <w:sz w:val="24"/>
          <w:szCs w:val="24"/>
        </w:rPr>
        <w:t>/202</w:t>
      </w:r>
      <w:r w:rsidR="00EA4C9F" w:rsidRPr="00AC76D0">
        <w:rPr>
          <w:sz w:val="24"/>
          <w:szCs w:val="24"/>
        </w:rPr>
        <w:t>2</w:t>
      </w:r>
      <w:r w:rsidRPr="00AC76D0">
        <w:rPr>
          <w:sz w:val="24"/>
          <w:szCs w:val="24"/>
        </w:rPr>
        <w:t>)</w:t>
      </w:r>
      <w:bookmarkEnd w:id="8"/>
    </w:p>
    <w:p w14:paraId="6156405D" w14:textId="77AC0C8C" w:rsidR="00EA4C9F" w:rsidRPr="00AC76D0" w:rsidRDefault="00EA4C9F" w:rsidP="00EA4C9F">
      <w:pPr>
        <w:rPr>
          <w:rFonts w:ascii="Book Antiqua" w:hAnsi="Book Antiqua"/>
          <w:b/>
          <w:bCs/>
        </w:rPr>
      </w:pPr>
      <w:r w:rsidRPr="00AC76D0">
        <w:rPr>
          <w:rFonts w:ascii="Book Antiqua" w:hAnsi="Book Antiqua"/>
          <w:b/>
          <w:bCs/>
        </w:rPr>
        <w:t>Trecento Robotique ISR - 202</w:t>
      </w:r>
      <w:r w:rsidR="00AC76D0">
        <w:rPr>
          <w:rFonts w:ascii="Book Antiqua" w:hAnsi="Book Antiqua"/>
          <w:b/>
          <w:bCs/>
        </w:rPr>
        <w:t>1</w:t>
      </w:r>
    </w:p>
    <w:p w14:paraId="3D6CE58A" w14:textId="6B9A3722" w:rsidR="00EA4C9F" w:rsidRPr="00AC76D0" w:rsidRDefault="00EA4C9F" w:rsidP="00364C8D">
      <w:pPr>
        <w:rPr>
          <w:rFonts w:ascii="Book Antiqua" w:hAnsi="Book Antiqua"/>
          <w:b/>
          <w:bCs/>
        </w:rPr>
      </w:pPr>
      <w:r w:rsidRPr="00AC76D0">
        <w:rPr>
          <w:rFonts w:ascii="Book Antiqua" w:hAnsi="Book Antiqua"/>
          <w:noProof/>
        </w:rPr>
        <w:drawing>
          <wp:inline distT="0" distB="0" distL="0" distR="0" wp14:anchorId="16420971" wp14:editId="779D5C7B">
            <wp:extent cx="6192520" cy="28682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92520" cy="2868295"/>
                    </a:xfrm>
                    <a:prstGeom prst="rect">
                      <a:avLst/>
                    </a:prstGeom>
                    <a:noFill/>
                    <a:ln>
                      <a:noFill/>
                    </a:ln>
                  </pic:spPr>
                </pic:pic>
              </a:graphicData>
            </a:graphic>
          </wp:inline>
        </w:drawing>
      </w:r>
    </w:p>
    <w:p w14:paraId="67632383" w14:textId="6AF1CBD3" w:rsidR="00EA4C9F" w:rsidRPr="00AC76D0" w:rsidRDefault="00EA4C9F" w:rsidP="00364C8D">
      <w:pPr>
        <w:rPr>
          <w:rFonts w:ascii="Book Antiqua" w:hAnsi="Book Antiqua"/>
          <w:b/>
          <w:bCs/>
        </w:rPr>
      </w:pPr>
    </w:p>
    <w:p w14:paraId="59254248" w14:textId="056C9BE7" w:rsidR="00EA4C9F" w:rsidRPr="00AC76D0" w:rsidRDefault="00EA4C9F" w:rsidP="00364C8D">
      <w:pPr>
        <w:rPr>
          <w:rFonts w:ascii="Book Antiqua" w:hAnsi="Book Antiqua"/>
          <w:b/>
          <w:bCs/>
        </w:rPr>
      </w:pPr>
    </w:p>
    <w:p w14:paraId="32A594EE" w14:textId="77777777" w:rsidR="00EA4C9F" w:rsidRPr="00AC76D0" w:rsidRDefault="00EA4C9F" w:rsidP="00364C8D">
      <w:pPr>
        <w:rPr>
          <w:rFonts w:ascii="Book Antiqua" w:hAnsi="Book Antiqua"/>
          <w:b/>
          <w:bCs/>
        </w:rPr>
      </w:pPr>
    </w:p>
    <w:p w14:paraId="742880DF" w14:textId="15AEA0FF" w:rsidR="00364C8D" w:rsidRPr="00AC76D0" w:rsidRDefault="00364C8D" w:rsidP="00364C8D">
      <w:pPr>
        <w:rPr>
          <w:rFonts w:ascii="Book Antiqua" w:hAnsi="Book Antiqua"/>
          <w:b/>
          <w:bCs/>
        </w:rPr>
      </w:pPr>
      <w:r w:rsidRPr="00AC76D0">
        <w:rPr>
          <w:rFonts w:ascii="Book Antiqua" w:hAnsi="Book Antiqua"/>
          <w:b/>
          <w:bCs/>
        </w:rPr>
        <w:lastRenderedPageBreak/>
        <w:t>Trecento Robotique ISR - 2020</w:t>
      </w:r>
    </w:p>
    <w:p w14:paraId="50E4ECC9" w14:textId="77777777" w:rsidR="00364C8D" w:rsidRPr="00AC76D0" w:rsidRDefault="00364C8D" w:rsidP="00364C8D">
      <w:pPr>
        <w:jc w:val="both"/>
        <w:rPr>
          <w:rFonts w:ascii="Book Antiqua" w:hAnsi="Book Antiqua"/>
          <w:bCs/>
          <w:sz w:val="24"/>
          <w:szCs w:val="24"/>
        </w:rPr>
      </w:pPr>
      <w:r w:rsidRPr="00AC76D0">
        <w:rPr>
          <w:rFonts w:ascii="Book Antiqua" w:hAnsi="Book Antiqua"/>
          <w:noProof/>
        </w:rPr>
        <w:drawing>
          <wp:inline distT="0" distB="0" distL="0" distR="0" wp14:anchorId="780885C2" wp14:editId="7A006014">
            <wp:extent cx="6192520" cy="2722245"/>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92520" cy="2722245"/>
                    </a:xfrm>
                    <a:prstGeom prst="rect">
                      <a:avLst/>
                    </a:prstGeom>
                    <a:noFill/>
                    <a:ln>
                      <a:noFill/>
                    </a:ln>
                  </pic:spPr>
                </pic:pic>
              </a:graphicData>
            </a:graphic>
          </wp:inline>
        </w:drawing>
      </w:r>
    </w:p>
    <w:p w14:paraId="795CCBEF" w14:textId="51336ED3" w:rsidR="00364C8D" w:rsidRPr="00AC76D0" w:rsidRDefault="00364C8D" w:rsidP="00364C8D">
      <w:pPr>
        <w:rPr>
          <w:rFonts w:ascii="Book Antiqua" w:hAnsi="Book Antiqua"/>
          <w:b/>
          <w:bCs/>
        </w:rPr>
      </w:pPr>
      <w:r w:rsidRPr="00AC76D0">
        <w:rPr>
          <w:rFonts w:ascii="Book Antiqua" w:hAnsi="Book Antiqua"/>
          <w:b/>
          <w:bCs/>
        </w:rPr>
        <w:t>Trecento Robotique ISR – 2019</w:t>
      </w:r>
    </w:p>
    <w:p w14:paraId="586B34F5" w14:textId="127E61D7" w:rsidR="00364C8D" w:rsidRPr="00AC76D0" w:rsidRDefault="00364C8D" w:rsidP="00364C8D">
      <w:pPr>
        <w:rPr>
          <w:rFonts w:ascii="Book Antiqua" w:hAnsi="Book Antiqua"/>
          <w:b/>
          <w:bCs/>
        </w:rPr>
      </w:pPr>
      <w:r w:rsidRPr="00AC76D0">
        <w:rPr>
          <w:rFonts w:ascii="Book Antiqua" w:hAnsi="Book Antiqua"/>
          <w:noProof/>
        </w:rPr>
        <w:drawing>
          <wp:inline distT="0" distB="0" distL="0" distR="0" wp14:anchorId="157C1DCB" wp14:editId="3BA8F88E">
            <wp:extent cx="6192520" cy="3151505"/>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92520" cy="3151505"/>
                    </a:xfrm>
                    <a:prstGeom prst="rect">
                      <a:avLst/>
                    </a:prstGeom>
                    <a:noFill/>
                    <a:ln>
                      <a:noFill/>
                    </a:ln>
                  </pic:spPr>
                </pic:pic>
              </a:graphicData>
            </a:graphic>
          </wp:inline>
        </w:drawing>
      </w:r>
    </w:p>
    <w:p w14:paraId="443A9940" w14:textId="6725825B" w:rsidR="00364C8D" w:rsidRPr="00AC76D0" w:rsidRDefault="00364C8D" w:rsidP="00DD18CD">
      <w:pPr>
        <w:jc w:val="both"/>
        <w:rPr>
          <w:rFonts w:ascii="Book Antiqua" w:hAnsi="Book Antiqua"/>
          <w:b/>
          <w:color w:val="948A54"/>
          <w:sz w:val="28"/>
          <w:szCs w:val="28"/>
        </w:rPr>
      </w:pPr>
      <w:r w:rsidRPr="00AC76D0">
        <w:rPr>
          <w:rFonts w:ascii="Book Antiqua" w:hAnsi="Book Antiqua"/>
          <w:b/>
          <w:color w:val="948A54"/>
          <w:sz w:val="28"/>
          <w:szCs w:val="28"/>
        </w:rPr>
        <w:t>Commentaires</w:t>
      </w:r>
    </w:p>
    <w:p w14:paraId="3A85B280" w14:textId="77777777" w:rsidR="00770C6C" w:rsidRPr="00AC76D0" w:rsidRDefault="00770C6C" w:rsidP="00770C6C">
      <w:pPr>
        <w:jc w:val="both"/>
        <w:rPr>
          <w:rFonts w:ascii="Book Antiqua" w:hAnsi="Book Antiqua"/>
          <w:bCs/>
          <w:sz w:val="24"/>
          <w:szCs w:val="24"/>
        </w:rPr>
      </w:pPr>
      <w:r w:rsidRPr="00AC76D0">
        <w:rPr>
          <w:rFonts w:ascii="Book Antiqua" w:hAnsi="Book Antiqua"/>
          <w:bCs/>
          <w:sz w:val="24"/>
          <w:szCs w:val="24"/>
        </w:rPr>
        <w:t>Au 31 décembre 2021, nous avions 531 sociétés dans notre univers d’investissement santé soit 84 de plus qu’en 2020 et 337 sociétés dans notre univers d’investissement robotique soit 2 de plus qu’en 2020. Cet élargissement de l’univers d’investissement dans la santé est marqué par un accroissement du nombre d’émetteurs de moyenne capitalisations boursières.</w:t>
      </w:r>
    </w:p>
    <w:p w14:paraId="361DBE07" w14:textId="77777777" w:rsidR="00770C6C" w:rsidRPr="00AC76D0" w:rsidRDefault="00770C6C" w:rsidP="00770C6C">
      <w:pPr>
        <w:jc w:val="both"/>
        <w:rPr>
          <w:rFonts w:ascii="Book Antiqua" w:hAnsi="Book Antiqua"/>
          <w:bCs/>
          <w:sz w:val="24"/>
          <w:szCs w:val="24"/>
        </w:rPr>
      </w:pPr>
      <w:r w:rsidRPr="00AC76D0">
        <w:rPr>
          <w:rFonts w:ascii="Book Antiqua" w:hAnsi="Book Antiqua"/>
          <w:bCs/>
          <w:sz w:val="24"/>
          <w:szCs w:val="24"/>
        </w:rPr>
        <w:t xml:space="preserve">En 2021, la performance de nos univers en termes d’ESG diffère selon le secteur : </w:t>
      </w:r>
    </w:p>
    <w:p w14:paraId="2E0FF11B" w14:textId="0338889B" w:rsidR="00770C6C" w:rsidRPr="00AC76D0" w:rsidRDefault="00770C6C" w:rsidP="00AC76D0">
      <w:pPr>
        <w:jc w:val="both"/>
        <w:rPr>
          <w:rFonts w:ascii="Book Antiqua" w:hAnsi="Book Antiqua"/>
          <w:bCs/>
          <w:sz w:val="24"/>
          <w:szCs w:val="24"/>
        </w:rPr>
      </w:pPr>
      <w:r w:rsidRPr="00AC76D0">
        <w:rPr>
          <w:rFonts w:ascii="Book Antiqua" w:hAnsi="Book Antiqua"/>
          <w:bCs/>
          <w:sz w:val="24"/>
          <w:szCs w:val="24"/>
        </w:rPr>
        <w:t xml:space="preserve">Notre univers Robotique s’est considérablement amélioré sur le critère Environnement/Climat, 63% des sociétés affirmant avoir mis en place une politique de réduction des émissions de gaz à effet de serre (contre 49% en 2020) et 79% indiquent avoir pris des initiatives pour réduire ces émissions (contre 63% en 2020). Cette tendance illustre la </w:t>
      </w:r>
      <w:r w:rsidRPr="00AC76D0">
        <w:rPr>
          <w:rFonts w:ascii="Book Antiqua" w:hAnsi="Book Antiqua"/>
          <w:bCs/>
          <w:sz w:val="24"/>
          <w:szCs w:val="24"/>
        </w:rPr>
        <w:lastRenderedPageBreak/>
        <w:t>volonté claire des émetteurs à répondre aux problématiques environnementales. Dans une moindre mesure, les métriques de notre univers robotique sur les critères Sociaux se sont également améliorés, tandis que les critères de gouvernance sont restés stables (amélioration de seulement 1 point sur le pourcentage de femmes au conseil d’administration, à 27% en 2021)</w:t>
      </w:r>
      <w:r w:rsidR="00AC76D0" w:rsidRPr="00AC76D0">
        <w:rPr>
          <w:rFonts w:ascii="Book Antiqua" w:hAnsi="Book Antiqua"/>
          <w:bCs/>
          <w:sz w:val="24"/>
          <w:szCs w:val="24"/>
        </w:rPr>
        <w:t>.</w:t>
      </w:r>
    </w:p>
    <w:p w14:paraId="34A15520" w14:textId="77777777" w:rsidR="00770C6C" w:rsidRPr="00AC76D0" w:rsidRDefault="00770C6C" w:rsidP="00AC76D0">
      <w:pPr>
        <w:jc w:val="both"/>
        <w:rPr>
          <w:rFonts w:ascii="Book Antiqua" w:hAnsi="Book Antiqua"/>
          <w:bCs/>
          <w:sz w:val="24"/>
          <w:szCs w:val="24"/>
        </w:rPr>
      </w:pPr>
      <w:r w:rsidRPr="00AC76D0">
        <w:rPr>
          <w:rFonts w:ascii="Book Antiqua" w:hAnsi="Book Antiqua"/>
          <w:bCs/>
          <w:sz w:val="24"/>
          <w:szCs w:val="24"/>
        </w:rPr>
        <w:t>Après une amélioration en 2020, la performance de notre univers santé en matière d’ESG est restée globalement stable, même si des progrès mineurs ont été réalisé sur l’existence d’une politique de réduction des GES (+3 points, 44% des sociétés en 2021) et le pourcentage de femme au conseil d’administration (+3 points, somme pondérée de 28%).      De manière générale, nous observons toujours un retard des pays émergents ou une plus faible capacité à se conformer aux exigences des analyses ESG sur les thèmes environnementaux et sociaux.</w:t>
      </w:r>
    </w:p>
    <w:p w14:paraId="2C4B8EEF" w14:textId="09281D92" w:rsidR="00770C6C" w:rsidRPr="00AC76D0" w:rsidRDefault="00770C6C" w:rsidP="00770C6C">
      <w:pPr>
        <w:jc w:val="both"/>
        <w:rPr>
          <w:rFonts w:ascii="Book Antiqua" w:hAnsi="Book Antiqua"/>
          <w:bCs/>
          <w:sz w:val="24"/>
          <w:szCs w:val="24"/>
        </w:rPr>
      </w:pPr>
      <w:r w:rsidRPr="00AC76D0">
        <w:rPr>
          <w:rFonts w:ascii="Book Antiqua" w:hAnsi="Book Antiqua"/>
          <w:bCs/>
          <w:sz w:val="24"/>
          <w:szCs w:val="24"/>
        </w:rPr>
        <w:t xml:space="preserve">Trecento Santé ISR : nous observons une amélioration générale de la performance ESG en 2021. L’amélioration de la performance ESG des entreprises concerne principalement le critère « Environnement », où 69% des émetteurs possèdent une politique de réduction des GES en 2021 contre 54% en 2020 et 46% en 2019. En conséquence, 90% des sociétés ont dévoilé la mise en place d’initiative en matière de réduction des émissions de gaz à effet de serre (contre 71% en 2020). Notre portefeuille Trecento Santé ISR progresse aussi sur le critère « Social », où 40% des sociétés indiquent être signataires du Pacte Mondial de l’ONU en 2021, soit une augmentation de 7 points par rapport en 2020. L’amélioration du critère « Gouvernance » reste limité, une amélioration de 2 points sur le pourcentage de femmes aux conseils d’administration.  Enfin, nous maintenons toujours une performance bien supérieure à notre univers d’investissement sur les critères ESG sélectionnés. </w:t>
      </w:r>
    </w:p>
    <w:p w14:paraId="69B72649" w14:textId="77777777" w:rsidR="00770C6C" w:rsidRPr="00AC76D0" w:rsidRDefault="00770C6C" w:rsidP="00770C6C">
      <w:pPr>
        <w:jc w:val="both"/>
        <w:rPr>
          <w:rFonts w:ascii="Book Antiqua" w:hAnsi="Book Antiqua"/>
          <w:bCs/>
          <w:sz w:val="24"/>
          <w:szCs w:val="24"/>
        </w:rPr>
      </w:pPr>
      <w:r w:rsidRPr="00AC76D0">
        <w:rPr>
          <w:rFonts w:ascii="Book Antiqua" w:hAnsi="Book Antiqua"/>
          <w:bCs/>
          <w:sz w:val="24"/>
          <w:szCs w:val="24"/>
        </w:rPr>
        <w:t xml:space="preserve">Trecento Robotique ISR : nous observons également une amélioration de presque tous les critères ESG. En 2021, nous constatons encore une amélioration notable au niveau des politiques de réduction des émissions de GES puisque 60% des sociétés en portefeuille disposaient d’une telle politique en 2021 contre 48% en 2020 et 23% en 2019. De même, 67% des sociétés indiquaient avoir mis en place une politique concernant les droites de l’Homme, contre 56% en 2020. Bien en dessous en 2019 et 2020, la performance ESG de notre fonds en 2021 se rapproche de plus en plus de celle de notre univers robotique.  </w:t>
      </w:r>
    </w:p>
    <w:p w14:paraId="06297BC8" w14:textId="3244B8F4" w:rsidR="00AF5223" w:rsidRPr="00AC76D0" w:rsidRDefault="00770C6C" w:rsidP="00770C6C">
      <w:pPr>
        <w:jc w:val="both"/>
        <w:rPr>
          <w:rFonts w:ascii="Book Antiqua" w:hAnsi="Book Antiqua"/>
          <w:bCs/>
          <w:sz w:val="24"/>
          <w:szCs w:val="24"/>
        </w:rPr>
      </w:pPr>
      <w:r w:rsidRPr="00AC76D0">
        <w:rPr>
          <w:rFonts w:ascii="Book Antiqua" w:hAnsi="Book Antiqua"/>
          <w:bCs/>
          <w:sz w:val="24"/>
          <w:szCs w:val="24"/>
        </w:rPr>
        <w:t>L’amélioration de la performance ESG sur nos fonds Trecento Santé ISR et Trecento Robotique ISR ne semble pas relever significativement des entrées et sorties de sociétés au sein des portefeuilles mais davantage d’un effort de chaque société détenue en portefeuille à améliorer ses pratiques ESG et sa communication à cet égard.</w:t>
      </w:r>
    </w:p>
    <w:p w14:paraId="5D872B16" w14:textId="2849EE04" w:rsidR="003C3B89" w:rsidRPr="00AC76D0" w:rsidRDefault="002A74EC" w:rsidP="008D4C83">
      <w:pPr>
        <w:jc w:val="both"/>
        <w:rPr>
          <w:rFonts w:ascii="Book Antiqua" w:hAnsi="Book Antiqua"/>
          <w:bCs/>
          <w:sz w:val="24"/>
          <w:szCs w:val="24"/>
        </w:rPr>
      </w:pPr>
      <w:r w:rsidRPr="00AC76D0">
        <w:rPr>
          <w:rFonts w:ascii="Book Antiqua" w:hAnsi="Book Antiqua"/>
          <w:bCs/>
          <w:sz w:val="24"/>
          <w:szCs w:val="24"/>
        </w:rPr>
        <w:t xml:space="preserve"> </w:t>
      </w:r>
    </w:p>
    <w:p w14:paraId="3A728DC3" w14:textId="4B944E8E" w:rsidR="00226D57" w:rsidRPr="00AC76D0" w:rsidRDefault="00226D57" w:rsidP="008D4C83">
      <w:pPr>
        <w:jc w:val="both"/>
        <w:rPr>
          <w:rFonts w:ascii="Book Antiqua" w:hAnsi="Book Antiqua"/>
          <w:sz w:val="24"/>
          <w:szCs w:val="24"/>
        </w:rPr>
      </w:pPr>
      <w:r w:rsidRPr="00AC76D0">
        <w:rPr>
          <w:rFonts w:ascii="Book Antiqua" w:hAnsi="Book Antiqua"/>
          <w:bCs/>
          <w:sz w:val="24"/>
          <w:szCs w:val="24"/>
        </w:rPr>
        <w:br w:type="page"/>
      </w:r>
    </w:p>
    <w:p w14:paraId="57B553B2" w14:textId="760C9BB6" w:rsidR="00DD18CD" w:rsidRPr="00AC76D0" w:rsidRDefault="00352BCB" w:rsidP="00AB6DF0">
      <w:pPr>
        <w:pStyle w:val="Titre2"/>
      </w:pPr>
      <w:bookmarkStart w:id="9" w:name="_Toc94636691"/>
      <w:r w:rsidRPr="00AC76D0">
        <w:lastRenderedPageBreak/>
        <w:t>Communication et diffusion</w:t>
      </w:r>
      <w:bookmarkEnd w:id="9"/>
    </w:p>
    <w:p w14:paraId="29FB616D" w14:textId="1BB22D58" w:rsidR="004E1850" w:rsidRPr="00AC76D0" w:rsidRDefault="004E1850" w:rsidP="004E1850">
      <w:pPr>
        <w:jc w:val="both"/>
        <w:rPr>
          <w:rFonts w:ascii="Book Antiqua" w:hAnsi="Book Antiqua"/>
          <w:sz w:val="24"/>
          <w:szCs w:val="24"/>
        </w:rPr>
      </w:pPr>
      <w:r w:rsidRPr="00AC76D0">
        <w:rPr>
          <w:rFonts w:ascii="Book Antiqua" w:hAnsi="Book Antiqua"/>
          <w:sz w:val="24"/>
          <w:szCs w:val="24"/>
        </w:rPr>
        <w:t>Les critères et indicateurs ESG font l’objet d’un suivi dans le temps pour les fonds Trecento Santé ISR et Trecento Robotique</w:t>
      </w:r>
      <w:r w:rsidR="000F39B6" w:rsidRPr="00AC76D0">
        <w:rPr>
          <w:rFonts w:ascii="Book Antiqua" w:hAnsi="Book Antiqua"/>
          <w:sz w:val="24"/>
          <w:szCs w:val="24"/>
        </w:rPr>
        <w:t xml:space="preserve"> ISR</w:t>
      </w:r>
      <w:r w:rsidRPr="00AC76D0">
        <w:rPr>
          <w:rFonts w:ascii="Book Antiqua" w:hAnsi="Book Antiqua"/>
          <w:sz w:val="24"/>
          <w:szCs w:val="24"/>
        </w:rPr>
        <w:t xml:space="preserve"> (en comparaison avec leur univers d’investissement respectif).</w:t>
      </w:r>
    </w:p>
    <w:p w14:paraId="04D1029D" w14:textId="77777777" w:rsidR="004E1850" w:rsidRPr="00AC76D0" w:rsidRDefault="004E1850" w:rsidP="004E1850">
      <w:pPr>
        <w:pStyle w:val="Paragraphedeliste"/>
        <w:ind w:left="360"/>
        <w:jc w:val="both"/>
        <w:rPr>
          <w:rFonts w:ascii="Book Antiqua" w:hAnsi="Book Antiqua"/>
          <w:sz w:val="24"/>
          <w:szCs w:val="24"/>
        </w:rPr>
      </w:pPr>
    </w:p>
    <w:p w14:paraId="4C3B0E8B" w14:textId="101D9B20" w:rsidR="00543D56" w:rsidRPr="00AC76D0" w:rsidRDefault="00543D56" w:rsidP="00543D56">
      <w:pPr>
        <w:pStyle w:val="Paragraphedeliste"/>
        <w:numPr>
          <w:ilvl w:val="0"/>
          <w:numId w:val="4"/>
        </w:numPr>
        <w:jc w:val="both"/>
        <w:rPr>
          <w:rFonts w:ascii="Book Antiqua" w:hAnsi="Book Antiqua"/>
          <w:sz w:val="24"/>
          <w:szCs w:val="24"/>
        </w:rPr>
      </w:pPr>
      <w:r w:rsidRPr="00AC76D0">
        <w:rPr>
          <w:rFonts w:ascii="Book Antiqua" w:hAnsi="Book Antiqua"/>
          <w:sz w:val="24"/>
          <w:szCs w:val="24"/>
        </w:rPr>
        <w:t>Périodicité : notre objectif est de mesurer et calculer</w:t>
      </w:r>
      <w:r w:rsidR="00FC0C9C" w:rsidRPr="00AC76D0">
        <w:rPr>
          <w:rFonts w:ascii="Book Antiqua" w:hAnsi="Book Antiqua"/>
          <w:sz w:val="24"/>
          <w:szCs w:val="24"/>
        </w:rPr>
        <w:t xml:space="preserve"> au minimum</w:t>
      </w:r>
      <w:r w:rsidRPr="00AC76D0">
        <w:rPr>
          <w:rFonts w:ascii="Book Antiqua" w:hAnsi="Book Antiqua"/>
          <w:sz w:val="24"/>
          <w:szCs w:val="24"/>
        </w:rPr>
        <w:t xml:space="preserve"> </w:t>
      </w:r>
      <w:r w:rsidR="00C03492" w:rsidRPr="00AC76D0">
        <w:rPr>
          <w:rFonts w:ascii="Book Antiqua" w:hAnsi="Book Antiqua"/>
          <w:sz w:val="24"/>
          <w:szCs w:val="24"/>
        </w:rPr>
        <w:t>une fois par an</w:t>
      </w:r>
      <w:r w:rsidRPr="00AC76D0">
        <w:rPr>
          <w:rFonts w:ascii="Book Antiqua" w:hAnsi="Book Antiqua"/>
          <w:sz w:val="24"/>
          <w:szCs w:val="24"/>
        </w:rPr>
        <w:t xml:space="preserve"> ces indicateurs d’impact ESG et Climat. Ceux-ci seront </w:t>
      </w:r>
      <w:r w:rsidR="00C03492" w:rsidRPr="00AC76D0">
        <w:rPr>
          <w:rFonts w:ascii="Book Antiqua" w:hAnsi="Book Antiqua"/>
          <w:sz w:val="24"/>
          <w:szCs w:val="24"/>
        </w:rPr>
        <w:t>forcément</w:t>
      </w:r>
      <w:r w:rsidRPr="00AC76D0">
        <w:rPr>
          <w:rFonts w:ascii="Book Antiqua" w:hAnsi="Book Antiqua"/>
          <w:sz w:val="24"/>
          <w:szCs w:val="24"/>
        </w:rPr>
        <w:t xml:space="preserve"> mesurés à chaque fin d’exercice et feront l’objet d’un bilan commenté dans le rapport de gestion annuel de chacun des fonds. </w:t>
      </w:r>
    </w:p>
    <w:p w14:paraId="0B4A2B43" w14:textId="77777777" w:rsidR="004E1850" w:rsidRPr="00AC76D0" w:rsidRDefault="004E1850" w:rsidP="004E1850">
      <w:pPr>
        <w:pStyle w:val="Paragraphedeliste"/>
        <w:ind w:left="360"/>
        <w:jc w:val="both"/>
        <w:rPr>
          <w:rFonts w:ascii="Book Antiqua" w:hAnsi="Book Antiqua"/>
          <w:sz w:val="24"/>
          <w:szCs w:val="24"/>
        </w:rPr>
      </w:pPr>
    </w:p>
    <w:p w14:paraId="18497B37" w14:textId="00B99044" w:rsidR="002E55AC" w:rsidRPr="00AC76D0" w:rsidRDefault="00543D56" w:rsidP="00651E34">
      <w:pPr>
        <w:pStyle w:val="Paragraphedeliste"/>
        <w:numPr>
          <w:ilvl w:val="0"/>
          <w:numId w:val="4"/>
        </w:numPr>
        <w:jc w:val="both"/>
        <w:rPr>
          <w:rFonts w:ascii="Book Antiqua" w:hAnsi="Book Antiqua"/>
          <w:sz w:val="24"/>
          <w:szCs w:val="24"/>
        </w:rPr>
      </w:pPr>
      <w:r w:rsidRPr="00AC76D0">
        <w:rPr>
          <w:rFonts w:ascii="Book Antiqua" w:hAnsi="Book Antiqua"/>
          <w:sz w:val="24"/>
          <w:szCs w:val="24"/>
        </w:rPr>
        <w:t xml:space="preserve">Support(s) de communication : les indicateurs d’impact ESG et Climat sont communiqués de manière annuelle dans le rapport de gestion de fin d’exercice des fonds Trecento Santé ISR et Trecento Robotique </w:t>
      </w:r>
      <w:r w:rsidR="00AF5223" w:rsidRPr="00AC76D0">
        <w:rPr>
          <w:rFonts w:ascii="Book Antiqua" w:hAnsi="Book Antiqua"/>
          <w:sz w:val="24"/>
          <w:szCs w:val="24"/>
        </w:rPr>
        <w:t xml:space="preserve">ISR </w:t>
      </w:r>
      <w:r w:rsidRPr="00AC76D0">
        <w:rPr>
          <w:rFonts w:ascii="Book Antiqua" w:hAnsi="Book Antiqua"/>
          <w:sz w:val="24"/>
          <w:szCs w:val="24"/>
        </w:rPr>
        <w:t>ainsi que dans le reporting ESG et le rapport d’impact</w:t>
      </w:r>
      <w:r w:rsidR="00AF5223" w:rsidRPr="00AC76D0">
        <w:rPr>
          <w:rFonts w:ascii="Book Antiqua" w:hAnsi="Book Antiqua"/>
          <w:sz w:val="24"/>
          <w:szCs w:val="24"/>
        </w:rPr>
        <w:t>.</w:t>
      </w:r>
    </w:p>
    <w:p w14:paraId="019131BB" w14:textId="77777777" w:rsidR="00AB6DF0" w:rsidRPr="00AC76D0" w:rsidRDefault="00AB6DF0">
      <w:pPr>
        <w:spacing w:after="0" w:line="240" w:lineRule="auto"/>
        <w:rPr>
          <w:rFonts w:ascii="Book Antiqua" w:hAnsi="Book Antiqua"/>
          <w:b/>
          <w:color w:val="948A54"/>
          <w:sz w:val="32"/>
          <w:szCs w:val="32"/>
        </w:rPr>
      </w:pPr>
      <w:r w:rsidRPr="00AC76D0">
        <w:rPr>
          <w:rFonts w:ascii="Book Antiqua" w:hAnsi="Book Antiqua"/>
          <w:b/>
          <w:color w:val="948A54"/>
          <w:sz w:val="32"/>
          <w:szCs w:val="32"/>
        </w:rPr>
        <w:br w:type="page"/>
      </w:r>
    </w:p>
    <w:p w14:paraId="254B4A22" w14:textId="571CA921" w:rsidR="00CF23FD" w:rsidRPr="00AC76D0" w:rsidRDefault="00CF23FD" w:rsidP="00CF23FD">
      <w:pPr>
        <w:rPr>
          <w:rFonts w:ascii="Book Antiqua" w:hAnsi="Book Antiqua"/>
          <w:bCs/>
          <w:i/>
          <w:iCs/>
          <w:sz w:val="28"/>
          <w:szCs w:val="28"/>
        </w:rPr>
      </w:pPr>
      <w:r w:rsidRPr="00AC76D0">
        <w:rPr>
          <w:rFonts w:ascii="Book Antiqua" w:hAnsi="Book Antiqua"/>
          <w:b/>
          <w:color w:val="948A54"/>
          <w:sz w:val="32"/>
          <w:szCs w:val="32"/>
        </w:rPr>
        <w:lastRenderedPageBreak/>
        <w:t>Mentions Légales</w:t>
      </w:r>
      <w:r w:rsidRPr="00AC76D0">
        <w:rPr>
          <w:rFonts w:ascii="Book Antiqua" w:hAnsi="Book Antiqua"/>
          <w:b/>
          <w:color w:val="CC0000"/>
          <w:sz w:val="32"/>
          <w:szCs w:val="32"/>
        </w:rPr>
        <w:br/>
      </w:r>
    </w:p>
    <w:p w14:paraId="58B8E52C" w14:textId="50ECBE3F" w:rsidR="00CF23FD" w:rsidRPr="00AC76D0" w:rsidRDefault="00CF23FD" w:rsidP="00807432">
      <w:pPr>
        <w:jc w:val="both"/>
        <w:rPr>
          <w:rFonts w:ascii="Book Antiqua" w:hAnsi="Book Antiqua"/>
          <w:bCs/>
          <w:i/>
          <w:iCs/>
          <w:sz w:val="24"/>
          <w:szCs w:val="24"/>
        </w:rPr>
      </w:pPr>
      <w:r w:rsidRPr="00AC76D0">
        <w:rPr>
          <w:rFonts w:ascii="Book Antiqua" w:hAnsi="Book Antiqua"/>
          <w:bCs/>
          <w:i/>
          <w:iCs/>
          <w:sz w:val="24"/>
          <w:szCs w:val="24"/>
        </w:rPr>
        <w:t>Ce document ne peut être considéré comme une sollicitation ou une offre, un conseil juridique ou fiscal. Il ne constitue en aucun cas, une recommandation personnalisée ou un conseil en investissement. Avant toute décision d'investissement, il appartient à l’investisseur d'en évaluer les risques et de s'assurer que cette décision correspond à ses objectifs, son expérience et sa situation patrimoniale.</w:t>
      </w:r>
    </w:p>
    <w:p w14:paraId="483CA406" w14:textId="77777777" w:rsidR="00CF23FD" w:rsidRPr="00AC76D0" w:rsidRDefault="00CF23FD" w:rsidP="00807432">
      <w:pPr>
        <w:jc w:val="both"/>
        <w:rPr>
          <w:rFonts w:ascii="Book Antiqua" w:hAnsi="Book Antiqua"/>
          <w:bCs/>
          <w:i/>
          <w:iCs/>
          <w:sz w:val="24"/>
          <w:szCs w:val="24"/>
        </w:rPr>
      </w:pPr>
      <w:r w:rsidRPr="00AC76D0">
        <w:rPr>
          <w:rFonts w:ascii="Book Antiqua" w:hAnsi="Book Antiqua"/>
          <w:bCs/>
          <w:i/>
          <w:iCs/>
          <w:sz w:val="24"/>
          <w:szCs w:val="24"/>
        </w:rPr>
        <w:t xml:space="preserve">Les informations et opinions contenues dans ce document n’ont qu’un caractère informatif. Elles sont élaborées à partir de sources que Trecento Asset Management estime dignes de confiance, et ne sauraient être garanties par elle quant à leur exactitude, fiabilité, actualité ou exhaustivité. </w:t>
      </w:r>
    </w:p>
    <w:p w14:paraId="596D4841" w14:textId="396BDBDA" w:rsidR="00CF23FD" w:rsidRPr="00AC76D0" w:rsidRDefault="00CF23FD" w:rsidP="00807432">
      <w:pPr>
        <w:jc w:val="both"/>
        <w:rPr>
          <w:rFonts w:ascii="Book Antiqua" w:hAnsi="Book Antiqua"/>
          <w:bCs/>
          <w:i/>
          <w:iCs/>
          <w:sz w:val="24"/>
          <w:szCs w:val="24"/>
        </w:rPr>
      </w:pPr>
      <w:r w:rsidRPr="00AC76D0">
        <w:rPr>
          <w:rFonts w:ascii="Book Antiqua" w:hAnsi="Book Antiqua"/>
          <w:bCs/>
          <w:i/>
          <w:iCs/>
          <w:sz w:val="24"/>
          <w:szCs w:val="24"/>
        </w:rPr>
        <w:t xml:space="preserve">Les réponses aux questions du présent </w:t>
      </w:r>
      <w:r w:rsidR="003A4C08" w:rsidRPr="00AC76D0">
        <w:rPr>
          <w:rFonts w:ascii="Book Antiqua" w:hAnsi="Book Antiqua"/>
          <w:bCs/>
          <w:i/>
          <w:iCs/>
          <w:sz w:val="24"/>
          <w:szCs w:val="24"/>
        </w:rPr>
        <w:t>document</w:t>
      </w:r>
      <w:r w:rsidRPr="00AC76D0">
        <w:rPr>
          <w:rFonts w:ascii="Book Antiqua" w:hAnsi="Book Antiqua"/>
          <w:bCs/>
          <w:i/>
          <w:iCs/>
          <w:sz w:val="24"/>
          <w:szCs w:val="24"/>
        </w:rPr>
        <w:t xml:space="preserve"> engagent la seule responsabilité de Trecento AM. </w:t>
      </w:r>
    </w:p>
    <w:p w14:paraId="5079C9CB" w14:textId="77777777" w:rsidR="00CF23FD" w:rsidRPr="00AC76D0" w:rsidRDefault="00CF23FD" w:rsidP="00807432">
      <w:pPr>
        <w:jc w:val="both"/>
        <w:rPr>
          <w:rFonts w:ascii="Book Antiqua" w:hAnsi="Book Antiqua"/>
          <w:bCs/>
          <w:i/>
          <w:iCs/>
          <w:sz w:val="24"/>
          <w:szCs w:val="24"/>
        </w:rPr>
      </w:pPr>
      <w:r w:rsidRPr="00AC76D0">
        <w:rPr>
          <w:rFonts w:ascii="Book Antiqua" w:hAnsi="Book Antiqua"/>
          <w:bCs/>
          <w:i/>
          <w:iCs/>
          <w:sz w:val="24"/>
          <w:szCs w:val="24"/>
        </w:rPr>
        <w:t>Il ne peut être donné aucune assurance que les produits présentés atteindront leurs objectifs. L'investissement en produits financiers peut comporter des risques et l'investisseur peut ne pas récupérer l'intégralité du capital investi.</w:t>
      </w:r>
    </w:p>
    <w:p w14:paraId="6B3F44F7" w14:textId="77777777" w:rsidR="00CF23FD" w:rsidRPr="00AC76D0" w:rsidRDefault="00CF23FD" w:rsidP="00CF23FD">
      <w:pPr>
        <w:jc w:val="both"/>
        <w:rPr>
          <w:rFonts w:ascii="Book Antiqua" w:hAnsi="Book Antiqua"/>
          <w:bCs/>
          <w:i/>
          <w:iCs/>
          <w:sz w:val="24"/>
          <w:szCs w:val="24"/>
        </w:rPr>
      </w:pPr>
      <w:r w:rsidRPr="00AC76D0">
        <w:rPr>
          <w:rFonts w:ascii="Book Antiqua" w:hAnsi="Book Antiqua"/>
          <w:bCs/>
          <w:i/>
          <w:iCs/>
          <w:sz w:val="24"/>
          <w:szCs w:val="24"/>
        </w:rPr>
        <w:t>Il est de votre responsabilité de considérer les impacts juridiques ou fiscaux consécutifs à l'investissement ainsi que de toute restriction éventuelle prévue par les lois et règlements qui vous sont applicables. Il vous appartient de vous assurer que la réglementation qui vous est applicable, en fonction de votre statut et de votre pays de résidence, ne vous interdit pas de souscrire les produits ou services décrits dans ce document. L'accès aux produits et services peut faire l'objet de restrictions à l'égard de certaines personnes ou de certains pays.</w:t>
      </w:r>
    </w:p>
    <w:p w14:paraId="754597DC" w14:textId="77777777" w:rsidR="00CF23FD" w:rsidRPr="00AC76D0" w:rsidRDefault="00CF23FD" w:rsidP="00CF23FD">
      <w:pPr>
        <w:jc w:val="both"/>
        <w:rPr>
          <w:rFonts w:ascii="Book Antiqua" w:hAnsi="Book Antiqua"/>
          <w:bCs/>
          <w:i/>
          <w:iCs/>
          <w:sz w:val="24"/>
          <w:szCs w:val="24"/>
        </w:rPr>
      </w:pPr>
      <w:r w:rsidRPr="00AC76D0">
        <w:rPr>
          <w:rFonts w:ascii="Book Antiqua" w:hAnsi="Book Antiqua"/>
          <w:bCs/>
          <w:i/>
          <w:iCs/>
          <w:sz w:val="24"/>
          <w:szCs w:val="24"/>
        </w:rPr>
        <w:t>Ce document n’est pas destiné aux investisseurs ayant la qualité de « U.S. Person » (telle que cette expression est définie dans la règlementation financière fédérale américaine et reprise dans le Prospectus des Fonds) et dans les conditions prévues par le Prospectus des Fonds.</w:t>
      </w:r>
    </w:p>
    <w:p w14:paraId="09DFD4ED" w14:textId="77777777" w:rsidR="00CF23FD" w:rsidRPr="00AC76D0" w:rsidRDefault="00CF23FD" w:rsidP="00CF23FD">
      <w:pPr>
        <w:jc w:val="both"/>
        <w:rPr>
          <w:rFonts w:ascii="Book Antiqua" w:hAnsi="Book Antiqua"/>
          <w:bCs/>
          <w:i/>
          <w:iCs/>
          <w:sz w:val="24"/>
          <w:szCs w:val="24"/>
        </w:rPr>
      </w:pPr>
      <w:r w:rsidRPr="00AC76D0">
        <w:rPr>
          <w:rFonts w:ascii="Book Antiqua" w:hAnsi="Book Antiqua"/>
          <w:bCs/>
          <w:i/>
          <w:iCs/>
          <w:sz w:val="24"/>
          <w:szCs w:val="24"/>
        </w:rPr>
        <w:t>Toute reproduction totale ou partielle est interdite sauf accord préalable de Trecento Asset Management.</w:t>
      </w:r>
    </w:p>
    <w:p w14:paraId="406FA8A6" w14:textId="68A3496E" w:rsidR="007E6245" w:rsidRPr="00AC76D0" w:rsidRDefault="007E6245" w:rsidP="007E6245">
      <w:pPr>
        <w:pStyle w:val="NormalWeb"/>
        <w:spacing w:before="0" w:beforeAutospacing="0" w:after="0" w:afterAutospacing="0"/>
        <w:jc w:val="center"/>
        <w:textAlignment w:val="baseline"/>
        <w:rPr>
          <w:rFonts w:ascii="Book Antiqua" w:eastAsia="MS PGothic" w:hAnsi="Book Antiqua" w:cstheme="minorBidi"/>
          <w:b/>
          <w:bCs/>
          <w:kern w:val="24"/>
          <w:sz w:val="22"/>
          <w:szCs w:val="22"/>
          <w:lang w:val="fr-FR"/>
        </w:rPr>
      </w:pPr>
    </w:p>
    <w:p w14:paraId="5B44FCF7" w14:textId="3C5B8611" w:rsidR="00C97D41" w:rsidRPr="00AC76D0" w:rsidRDefault="00C97D41" w:rsidP="007E6245">
      <w:pPr>
        <w:pStyle w:val="NormalWeb"/>
        <w:spacing w:before="0" w:beforeAutospacing="0" w:after="0" w:afterAutospacing="0"/>
        <w:jc w:val="center"/>
        <w:textAlignment w:val="baseline"/>
        <w:rPr>
          <w:rFonts w:ascii="Book Antiqua" w:eastAsia="MS PGothic" w:hAnsi="Book Antiqua" w:cstheme="minorBidi"/>
          <w:b/>
          <w:bCs/>
          <w:kern w:val="24"/>
          <w:sz w:val="22"/>
          <w:szCs w:val="22"/>
          <w:lang w:val="fr-FR"/>
        </w:rPr>
      </w:pPr>
    </w:p>
    <w:p w14:paraId="1E3316D3" w14:textId="77777777" w:rsidR="00C97D41" w:rsidRPr="00AC76D0" w:rsidRDefault="00C97D41" w:rsidP="007E6245">
      <w:pPr>
        <w:pStyle w:val="NormalWeb"/>
        <w:spacing w:before="0" w:beforeAutospacing="0" w:after="0" w:afterAutospacing="0"/>
        <w:jc w:val="center"/>
        <w:textAlignment w:val="baseline"/>
        <w:rPr>
          <w:rFonts w:ascii="Book Antiqua" w:eastAsia="MS PGothic" w:hAnsi="Book Antiqua" w:cstheme="minorBidi"/>
          <w:b/>
          <w:bCs/>
          <w:kern w:val="24"/>
          <w:sz w:val="22"/>
          <w:szCs w:val="22"/>
          <w:lang w:val="fr-FR"/>
        </w:rPr>
      </w:pPr>
    </w:p>
    <w:p w14:paraId="16A5C37F" w14:textId="77777777" w:rsidR="007E6245" w:rsidRPr="00AC76D0" w:rsidRDefault="007E6245" w:rsidP="007E6245">
      <w:pPr>
        <w:pStyle w:val="NormalWeb"/>
        <w:spacing w:before="0" w:beforeAutospacing="0" w:after="0" w:afterAutospacing="0"/>
        <w:jc w:val="center"/>
        <w:textAlignment w:val="baseline"/>
        <w:rPr>
          <w:rFonts w:ascii="Book Antiqua" w:eastAsia="MS PGothic" w:hAnsi="Book Antiqua" w:cstheme="minorBidi"/>
          <w:b/>
          <w:bCs/>
          <w:kern w:val="24"/>
          <w:sz w:val="22"/>
          <w:szCs w:val="22"/>
          <w:lang w:val="fr-FR"/>
        </w:rPr>
      </w:pPr>
    </w:p>
    <w:tbl>
      <w:tblPr>
        <w:tblStyle w:val="Grilledutableau"/>
        <w:tblW w:w="0" w:type="auto"/>
        <w:jc w:val="center"/>
        <w:tblLook w:val="04A0" w:firstRow="1" w:lastRow="0" w:firstColumn="1" w:lastColumn="0" w:noHBand="0" w:noVBand="1"/>
      </w:tblPr>
      <w:tblGrid>
        <w:gridCol w:w="9062"/>
      </w:tblGrid>
      <w:tr w:rsidR="007E6245" w:rsidRPr="00AC76D0" w14:paraId="40ABE9EF" w14:textId="77777777" w:rsidTr="00CF23FD">
        <w:trPr>
          <w:jc w:val="center"/>
        </w:trPr>
        <w:tc>
          <w:tcPr>
            <w:tcW w:w="9062" w:type="dxa"/>
            <w:tcBorders>
              <w:top w:val="nil"/>
              <w:left w:val="nil"/>
              <w:bottom w:val="nil"/>
              <w:right w:val="nil"/>
            </w:tcBorders>
            <w:shd w:val="clear" w:color="auto" w:fill="A79369"/>
          </w:tcPr>
          <w:p w14:paraId="704994C8" w14:textId="77777777" w:rsidR="007E6245" w:rsidRPr="00AC76D0" w:rsidRDefault="007E6245" w:rsidP="007E6245">
            <w:pPr>
              <w:pStyle w:val="NormalWeb"/>
              <w:spacing w:before="0" w:beforeAutospacing="0" w:after="0" w:afterAutospacing="0"/>
              <w:jc w:val="center"/>
              <w:textAlignment w:val="baseline"/>
              <w:rPr>
                <w:rFonts w:ascii="Book Antiqua" w:eastAsia="MS PGothic" w:hAnsi="Book Antiqua" w:cstheme="minorBidi"/>
                <w:b/>
                <w:bCs/>
                <w:color w:val="FFFFFF" w:themeColor="background1"/>
                <w:kern w:val="24"/>
                <w:sz w:val="22"/>
                <w:szCs w:val="22"/>
                <w:lang w:val="fr-FR"/>
              </w:rPr>
            </w:pPr>
            <w:bookmarkStart w:id="10" w:name="_Hlk24560666"/>
          </w:p>
          <w:p w14:paraId="51DDBEF5" w14:textId="77777777" w:rsidR="007E6245" w:rsidRPr="00AC76D0" w:rsidRDefault="007E6245" w:rsidP="007E6245">
            <w:pPr>
              <w:pStyle w:val="NormalWeb"/>
              <w:spacing w:before="0" w:beforeAutospacing="0" w:after="0" w:afterAutospacing="0"/>
              <w:jc w:val="center"/>
              <w:textAlignment w:val="baseline"/>
              <w:rPr>
                <w:rFonts w:ascii="Book Antiqua" w:hAnsi="Book Antiqua"/>
                <w:color w:val="FFFFFF" w:themeColor="background1"/>
                <w:sz w:val="22"/>
                <w:szCs w:val="22"/>
                <w:lang w:val="fr-FR"/>
              </w:rPr>
            </w:pPr>
            <w:r w:rsidRPr="00AC76D0">
              <w:rPr>
                <w:rFonts w:ascii="Book Antiqua" w:eastAsia="MS PGothic" w:hAnsi="Book Antiqua" w:cstheme="minorBidi"/>
                <w:b/>
                <w:bCs/>
                <w:color w:val="FFFFFF" w:themeColor="background1"/>
                <w:kern w:val="24"/>
                <w:sz w:val="22"/>
                <w:szCs w:val="22"/>
                <w:lang w:val="fr-FR"/>
              </w:rPr>
              <w:t xml:space="preserve">Trecento Asset Management </w:t>
            </w:r>
            <w:r w:rsidRPr="00AC76D0">
              <w:rPr>
                <w:rFonts w:ascii="Book Antiqua" w:eastAsia="MS PGothic" w:hAnsi="Book Antiqua" w:cstheme="minorBidi"/>
                <w:color w:val="FFFFFF" w:themeColor="background1"/>
                <w:kern w:val="24"/>
                <w:sz w:val="22"/>
                <w:szCs w:val="22"/>
                <w:lang w:val="fr-FR"/>
              </w:rPr>
              <w:t>- SAS au capital de 300 000 euros</w:t>
            </w:r>
          </w:p>
          <w:p w14:paraId="42F3920C" w14:textId="77777777" w:rsidR="007E6245" w:rsidRPr="00AC76D0" w:rsidRDefault="007E6245" w:rsidP="007E6245">
            <w:pPr>
              <w:pStyle w:val="NormalWeb"/>
              <w:spacing w:before="0" w:beforeAutospacing="0" w:after="0" w:afterAutospacing="0"/>
              <w:jc w:val="center"/>
              <w:textAlignment w:val="baseline"/>
              <w:rPr>
                <w:rFonts w:ascii="Book Antiqua" w:eastAsia="MS PGothic" w:hAnsi="Book Antiqua" w:cstheme="minorBidi"/>
                <w:color w:val="FFFFFF" w:themeColor="background1"/>
                <w:kern w:val="24"/>
                <w:sz w:val="22"/>
                <w:szCs w:val="22"/>
                <w:lang w:val="fr-FR"/>
              </w:rPr>
            </w:pPr>
          </w:p>
          <w:p w14:paraId="1536B66C" w14:textId="086BC688" w:rsidR="007E6245" w:rsidRPr="00AC76D0" w:rsidRDefault="007E6245" w:rsidP="007E6245">
            <w:pPr>
              <w:pStyle w:val="NormalWeb"/>
              <w:spacing w:before="0" w:beforeAutospacing="0" w:after="0" w:afterAutospacing="0"/>
              <w:jc w:val="center"/>
              <w:textAlignment w:val="baseline"/>
              <w:rPr>
                <w:rFonts w:ascii="Book Antiqua" w:hAnsi="Book Antiqua"/>
                <w:color w:val="FFFFFF" w:themeColor="background1"/>
                <w:sz w:val="22"/>
                <w:szCs w:val="22"/>
                <w:lang w:val="fr-FR"/>
              </w:rPr>
            </w:pPr>
            <w:r w:rsidRPr="00AC76D0">
              <w:rPr>
                <w:rFonts w:ascii="Book Antiqua" w:eastAsia="MS PGothic" w:hAnsi="Book Antiqua" w:cstheme="minorBidi"/>
                <w:color w:val="FFFFFF" w:themeColor="background1"/>
                <w:kern w:val="24"/>
                <w:sz w:val="22"/>
                <w:szCs w:val="22"/>
                <w:lang w:val="fr-FR"/>
              </w:rPr>
              <w:t xml:space="preserve">Siège social : </w:t>
            </w:r>
            <w:r w:rsidR="00AF5223" w:rsidRPr="00AC76D0">
              <w:rPr>
                <w:rFonts w:ascii="Book Antiqua" w:eastAsia="MS PGothic" w:hAnsi="Book Antiqua" w:cstheme="minorBidi"/>
                <w:color w:val="FFFFFF" w:themeColor="background1"/>
                <w:kern w:val="24"/>
                <w:sz w:val="22"/>
                <w:szCs w:val="22"/>
                <w:lang w:val="fr-FR"/>
              </w:rPr>
              <w:t>19</w:t>
            </w:r>
            <w:r w:rsidRPr="00AC76D0">
              <w:rPr>
                <w:rFonts w:ascii="Book Antiqua" w:eastAsia="MS PGothic" w:hAnsi="Book Antiqua" w:cstheme="minorBidi"/>
                <w:color w:val="FFFFFF" w:themeColor="background1"/>
                <w:kern w:val="24"/>
                <w:sz w:val="22"/>
                <w:szCs w:val="22"/>
                <w:lang w:val="fr-FR"/>
              </w:rPr>
              <w:t xml:space="preserve"> rue de </w:t>
            </w:r>
            <w:r w:rsidR="00AF5223" w:rsidRPr="00AC76D0">
              <w:rPr>
                <w:rFonts w:ascii="Book Antiqua" w:eastAsia="MS PGothic" w:hAnsi="Book Antiqua" w:cstheme="minorBidi"/>
                <w:color w:val="FFFFFF" w:themeColor="background1"/>
                <w:kern w:val="24"/>
                <w:sz w:val="22"/>
                <w:szCs w:val="22"/>
                <w:lang w:val="fr-FR"/>
              </w:rPr>
              <w:t>la Paix</w:t>
            </w:r>
            <w:r w:rsidRPr="00AC76D0">
              <w:rPr>
                <w:rFonts w:ascii="Book Antiqua" w:eastAsia="MS PGothic" w:hAnsi="Book Antiqua" w:cstheme="minorBidi"/>
                <w:color w:val="FFFFFF" w:themeColor="background1"/>
                <w:kern w:val="24"/>
                <w:sz w:val="22"/>
                <w:szCs w:val="22"/>
                <w:lang w:val="fr-FR"/>
              </w:rPr>
              <w:t xml:space="preserve"> – 7500</w:t>
            </w:r>
            <w:r w:rsidR="00AF5223" w:rsidRPr="00AC76D0">
              <w:rPr>
                <w:rFonts w:ascii="Book Antiqua" w:eastAsia="MS PGothic" w:hAnsi="Book Antiqua" w:cstheme="minorBidi"/>
                <w:color w:val="FFFFFF" w:themeColor="background1"/>
                <w:kern w:val="24"/>
                <w:sz w:val="22"/>
                <w:szCs w:val="22"/>
                <w:lang w:val="fr-FR"/>
              </w:rPr>
              <w:t>2</w:t>
            </w:r>
            <w:r w:rsidRPr="00AC76D0">
              <w:rPr>
                <w:rFonts w:ascii="Book Antiqua" w:eastAsia="MS PGothic" w:hAnsi="Book Antiqua" w:cstheme="minorBidi"/>
                <w:color w:val="FFFFFF" w:themeColor="background1"/>
                <w:kern w:val="24"/>
                <w:sz w:val="22"/>
                <w:szCs w:val="22"/>
                <w:lang w:val="fr-FR"/>
              </w:rPr>
              <w:t xml:space="preserve"> Paris</w:t>
            </w:r>
          </w:p>
          <w:p w14:paraId="6F00FB76" w14:textId="77777777" w:rsidR="007E6245" w:rsidRPr="00AC76D0" w:rsidRDefault="007E6245" w:rsidP="007E6245">
            <w:pPr>
              <w:pStyle w:val="NormalWeb"/>
              <w:spacing w:before="0" w:beforeAutospacing="0" w:after="0" w:afterAutospacing="0"/>
              <w:jc w:val="center"/>
              <w:textAlignment w:val="baseline"/>
              <w:rPr>
                <w:rFonts w:ascii="Book Antiqua" w:eastAsia="MS PGothic" w:hAnsi="Book Antiqua" w:cstheme="minorBidi"/>
                <w:color w:val="FFFFFF" w:themeColor="background1"/>
                <w:kern w:val="24"/>
                <w:sz w:val="22"/>
                <w:szCs w:val="22"/>
                <w:lang w:val="fr-FR"/>
              </w:rPr>
            </w:pPr>
          </w:p>
          <w:p w14:paraId="13BBE0D8" w14:textId="77777777" w:rsidR="007E6245" w:rsidRPr="00AC76D0" w:rsidRDefault="007E6245" w:rsidP="007E6245">
            <w:pPr>
              <w:pStyle w:val="NormalWeb"/>
              <w:spacing w:before="0" w:beforeAutospacing="0" w:after="0" w:afterAutospacing="0"/>
              <w:jc w:val="center"/>
              <w:textAlignment w:val="baseline"/>
              <w:rPr>
                <w:rFonts w:ascii="Book Antiqua" w:hAnsi="Book Antiqua"/>
                <w:color w:val="FFFFFF" w:themeColor="background1"/>
                <w:sz w:val="22"/>
                <w:szCs w:val="22"/>
                <w:lang w:val="fr-FR"/>
              </w:rPr>
            </w:pPr>
            <w:r w:rsidRPr="00AC76D0">
              <w:rPr>
                <w:rFonts w:ascii="Book Antiqua" w:eastAsia="MS PGothic" w:hAnsi="Book Antiqua" w:cstheme="minorBidi"/>
                <w:color w:val="FFFFFF" w:themeColor="background1"/>
                <w:kern w:val="24"/>
                <w:sz w:val="22"/>
                <w:szCs w:val="22"/>
                <w:lang w:val="fr-FR"/>
              </w:rPr>
              <w:t>R.C.S. Paris : 538 141 334</w:t>
            </w:r>
          </w:p>
          <w:p w14:paraId="29AD856D" w14:textId="77777777" w:rsidR="007E6245" w:rsidRPr="00AC76D0" w:rsidRDefault="007E6245" w:rsidP="007E6245">
            <w:pPr>
              <w:pStyle w:val="NormalWeb"/>
              <w:spacing w:before="0" w:beforeAutospacing="0" w:after="0" w:afterAutospacing="0"/>
              <w:jc w:val="center"/>
              <w:textAlignment w:val="baseline"/>
              <w:rPr>
                <w:rFonts w:ascii="Book Antiqua" w:eastAsia="MS PGothic" w:hAnsi="Book Antiqua" w:cstheme="minorBidi"/>
                <w:b/>
                <w:bCs/>
                <w:color w:val="FFFFFF" w:themeColor="background1"/>
                <w:kern w:val="24"/>
                <w:sz w:val="22"/>
                <w:szCs w:val="22"/>
                <w:lang w:val="fr-FR"/>
              </w:rPr>
            </w:pPr>
          </w:p>
          <w:p w14:paraId="00E480F7" w14:textId="77777777" w:rsidR="007E6245" w:rsidRPr="00AC76D0" w:rsidRDefault="007E6245" w:rsidP="007E6245">
            <w:pPr>
              <w:pStyle w:val="NormalWeb"/>
              <w:spacing w:before="0" w:beforeAutospacing="0" w:after="0" w:afterAutospacing="0"/>
              <w:jc w:val="center"/>
              <w:textAlignment w:val="baseline"/>
              <w:rPr>
                <w:rFonts w:ascii="Book Antiqua" w:hAnsi="Book Antiqua"/>
                <w:color w:val="FFFFFF" w:themeColor="background1"/>
                <w:sz w:val="22"/>
                <w:szCs w:val="22"/>
                <w:lang w:val="fr-FR"/>
              </w:rPr>
            </w:pPr>
            <w:r w:rsidRPr="00AC76D0">
              <w:rPr>
                <w:rFonts w:ascii="Book Antiqua" w:eastAsia="MS PGothic" w:hAnsi="Book Antiqua" w:cstheme="minorBidi"/>
                <w:b/>
                <w:bCs/>
                <w:color w:val="FFFFFF" w:themeColor="background1"/>
                <w:kern w:val="24"/>
                <w:sz w:val="22"/>
                <w:szCs w:val="22"/>
                <w:lang w:val="fr-FR"/>
              </w:rPr>
              <w:t>Agrément AMF : GP-12000002 du 16 janvier 2012</w:t>
            </w:r>
          </w:p>
          <w:p w14:paraId="59343974" w14:textId="77777777" w:rsidR="007E6245" w:rsidRPr="00AC76D0" w:rsidRDefault="007E6245" w:rsidP="007E6245">
            <w:pPr>
              <w:pStyle w:val="NormalWeb"/>
              <w:spacing w:before="0" w:beforeAutospacing="0" w:after="0" w:afterAutospacing="0"/>
              <w:jc w:val="center"/>
              <w:textAlignment w:val="baseline"/>
              <w:rPr>
                <w:rFonts w:ascii="Book Antiqua" w:eastAsia="MS PGothic" w:hAnsi="Book Antiqua" w:cstheme="minorBidi"/>
                <w:b/>
                <w:bCs/>
                <w:color w:val="FFFFFF" w:themeColor="background1"/>
                <w:kern w:val="24"/>
                <w:sz w:val="22"/>
                <w:szCs w:val="22"/>
                <w:lang w:val="fr-FR"/>
              </w:rPr>
            </w:pPr>
          </w:p>
          <w:p w14:paraId="387BB7CB" w14:textId="2B84CE39" w:rsidR="007E6245" w:rsidRPr="00AC76D0" w:rsidRDefault="007E6245" w:rsidP="00C97D41">
            <w:pPr>
              <w:pStyle w:val="NormalWeb"/>
              <w:spacing w:before="0" w:beforeAutospacing="0" w:after="0" w:afterAutospacing="0"/>
              <w:jc w:val="center"/>
              <w:textAlignment w:val="baseline"/>
              <w:rPr>
                <w:rFonts w:ascii="Book Antiqua" w:eastAsia="MS PGothic" w:hAnsi="Book Antiqua" w:cstheme="minorBidi"/>
                <w:b/>
                <w:bCs/>
                <w:color w:val="FFFFFF" w:themeColor="background1"/>
                <w:kern w:val="24"/>
                <w:sz w:val="22"/>
                <w:szCs w:val="22"/>
                <w:lang w:val="fr-FR"/>
              </w:rPr>
            </w:pPr>
            <w:r w:rsidRPr="00AC76D0">
              <w:rPr>
                <w:rFonts w:ascii="Book Antiqua" w:eastAsia="MS PGothic" w:hAnsi="Book Antiqua" w:cstheme="minorBidi"/>
                <w:b/>
                <w:bCs/>
                <w:color w:val="FFFFFF" w:themeColor="background1"/>
                <w:kern w:val="24"/>
                <w:sz w:val="22"/>
                <w:szCs w:val="22"/>
                <w:lang w:val="fr-FR"/>
              </w:rPr>
              <w:t xml:space="preserve">Téléphone : 01 57 13 55 55 - </w:t>
            </w:r>
            <w:hyperlink r:id="rId22" w:history="1">
              <w:r w:rsidR="00C97D41" w:rsidRPr="00AC76D0">
                <w:rPr>
                  <w:rStyle w:val="Lienhypertexte"/>
                  <w:rFonts w:ascii="Book Antiqua" w:eastAsia="MS PGothic" w:hAnsi="Book Antiqua" w:cstheme="minorBidi"/>
                  <w:b/>
                  <w:bCs/>
                  <w:kern w:val="24"/>
                  <w:sz w:val="22"/>
                  <w:szCs w:val="22"/>
                  <w:lang w:val="fr-FR"/>
                </w:rPr>
                <w:t>contact@trecento-am.com</w:t>
              </w:r>
            </w:hyperlink>
          </w:p>
          <w:p w14:paraId="12617AAD" w14:textId="6891B28D" w:rsidR="00C97D41" w:rsidRPr="00AC76D0" w:rsidRDefault="00C97D41" w:rsidP="00C97D41">
            <w:pPr>
              <w:pStyle w:val="NormalWeb"/>
              <w:spacing w:before="0" w:beforeAutospacing="0" w:after="0" w:afterAutospacing="0"/>
              <w:jc w:val="center"/>
              <w:textAlignment w:val="baseline"/>
              <w:rPr>
                <w:rFonts w:ascii="Book Antiqua" w:hAnsi="Book Antiqua"/>
                <w:color w:val="FFFFFF" w:themeColor="background1"/>
                <w:sz w:val="22"/>
                <w:szCs w:val="22"/>
                <w:lang w:val="fr-FR"/>
              </w:rPr>
            </w:pPr>
          </w:p>
        </w:tc>
      </w:tr>
      <w:bookmarkEnd w:id="10"/>
    </w:tbl>
    <w:p w14:paraId="25841362" w14:textId="07FC3088" w:rsidR="007E6245" w:rsidRPr="00AC76D0" w:rsidRDefault="007E6245" w:rsidP="00CF23FD">
      <w:pPr>
        <w:spacing w:after="0" w:line="240" w:lineRule="auto"/>
        <w:rPr>
          <w:rFonts w:ascii="Book Antiqua" w:hAnsi="Book Antiqua"/>
          <w:b/>
          <w:sz w:val="32"/>
          <w:szCs w:val="32"/>
        </w:rPr>
      </w:pPr>
    </w:p>
    <w:sectPr w:rsidR="007E6245" w:rsidRPr="00AC76D0" w:rsidSect="00AC76D0">
      <w:footerReference w:type="default" r:id="rId23"/>
      <w:pgSz w:w="11906" w:h="16838"/>
      <w:pgMar w:top="851" w:right="1077" w:bottom="1021" w:left="1077" w:header="709" w:footer="227" w:gutter="0"/>
      <w:pgBorders w:offsetFrom="page">
        <w:top w:val="single" w:sz="4" w:space="24" w:color="948A54"/>
        <w:left w:val="single" w:sz="4" w:space="24" w:color="948A54"/>
        <w:bottom w:val="single" w:sz="4" w:space="24" w:color="948A54"/>
        <w:right w:val="single" w:sz="4" w:space="24" w:color="948A54"/>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09672" w14:textId="77777777" w:rsidR="007E6245" w:rsidRDefault="007E6245" w:rsidP="00346AEF">
      <w:pPr>
        <w:spacing w:after="0" w:line="240" w:lineRule="auto"/>
      </w:pPr>
      <w:r>
        <w:separator/>
      </w:r>
    </w:p>
  </w:endnote>
  <w:endnote w:type="continuationSeparator" w:id="0">
    <w:p w14:paraId="3E891060" w14:textId="77777777" w:rsidR="007E6245" w:rsidRDefault="007E6245" w:rsidP="00346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C0703" w14:textId="50A628D0" w:rsidR="007E6245" w:rsidRPr="00AC76D0" w:rsidRDefault="00F42C95" w:rsidP="00A839E5">
    <w:pPr>
      <w:pStyle w:val="Pieddepage"/>
      <w:tabs>
        <w:tab w:val="clear" w:pos="9072"/>
        <w:tab w:val="right" w:pos="9781"/>
      </w:tabs>
      <w:rPr>
        <w:rFonts w:ascii="Book Antiqua" w:hAnsi="Book Antiqua"/>
        <w:color w:val="948A54"/>
        <w:sz w:val="20"/>
        <w:szCs w:val="20"/>
      </w:rPr>
    </w:pPr>
    <w:r w:rsidRPr="00AC76D0">
      <w:rPr>
        <w:rFonts w:ascii="Book Antiqua" w:hAnsi="Book Antiqua"/>
        <w:b/>
        <w:color w:val="948A54"/>
        <w:sz w:val="20"/>
        <w:szCs w:val="20"/>
      </w:rPr>
      <w:t>Rapport ESG et Clima</w:t>
    </w:r>
    <w:r w:rsidR="002E55AC" w:rsidRPr="00AC76D0">
      <w:rPr>
        <w:rFonts w:ascii="Book Antiqua" w:hAnsi="Book Antiqua"/>
        <w:b/>
        <w:color w:val="948A54"/>
        <w:sz w:val="20"/>
        <w:szCs w:val="20"/>
      </w:rPr>
      <w:t>t</w:t>
    </w:r>
    <w:r w:rsidRPr="00AC76D0">
      <w:rPr>
        <w:rFonts w:ascii="Book Antiqua" w:hAnsi="Book Antiqua"/>
        <w:b/>
        <w:color w:val="948A54"/>
        <w:sz w:val="20"/>
        <w:szCs w:val="20"/>
      </w:rPr>
      <w:t xml:space="preserve">                                        </w:t>
    </w:r>
    <w:r w:rsidR="002E55AC" w:rsidRPr="00AC76D0">
      <w:rPr>
        <w:rFonts w:ascii="Book Antiqua" w:hAnsi="Book Antiqua"/>
        <w:b/>
        <w:color w:val="948A54"/>
        <w:sz w:val="20"/>
        <w:szCs w:val="20"/>
      </w:rPr>
      <w:t xml:space="preserve"> </w:t>
    </w:r>
    <w:r w:rsidR="007E6245" w:rsidRPr="00AC76D0">
      <w:rPr>
        <w:rFonts w:ascii="Book Antiqua" w:hAnsi="Book Antiqua"/>
        <w:b/>
        <w:color w:val="948A54"/>
        <w:sz w:val="20"/>
        <w:szCs w:val="20"/>
      </w:rPr>
      <w:t xml:space="preserve">             </w:t>
    </w:r>
    <w:r w:rsidR="002E55AC" w:rsidRPr="00AC76D0">
      <w:rPr>
        <w:rFonts w:ascii="Book Antiqua" w:hAnsi="Book Antiqua"/>
        <w:b/>
        <w:color w:val="948A54"/>
        <w:sz w:val="20"/>
        <w:szCs w:val="20"/>
      </w:rPr>
      <w:t xml:space="preserve">      </w:t>
    </w:r>
    <w:r w:rsidR="007E6245" w:rsidRPr="00AC76D0">
      <w:rPr>
        <w:rFonts w:ascii="Book Antiqua" w:hAnsi="Book Antiqua"/>
        <w:b/>
        <w:color w:val="948A54"/>
        <w:sz w:val="20"/>
        <w:szCs w:val="20"/>
      </w:rPr>
      <w:t xml:space="preserve"> Trecento Santé</w:t>
    </w:r>
    <w:r w:rsidR="005272E4" w:rsidRPr="00AC76D0">
      <w:rPr>
        <w:rFonts w:ascii="Book Antiqua" w:hAnsi="Book Antiqua"/>
        <w:b/>
        <w:color w:val="948A54"/>
        <w:sz w:val="20"/>
        <w:szCs w:val="20"/>
      </w:rPr>
      <w:t xml:space="preserve"> ISR</w:t>
    </w:r>
    <w:r w:rsidR="007E6245" w:rsidRPr="00AC76D0">
      <w:rPr>
        <w:rFonts w:ascii="Book Antiqua" w:hAnsi="Book Antiqua"/>
        <w:b/>
        <w:color w:val="948A54"/>
        <w:sz w:val="20"/>
        <w:szCs w:val="20"/>
      </w:rPr>
      <w:t xml:space="preserve"> / Trecento Robotique</w:t>
    </w:r>
    <w:r w:rsidR="00807432" w:rsidRPr="00AC76D0">
      <w:rPr>
        <w:rFonts w:ascii="Book Antiqua" w:hAnsi="Book Antiqua"/>
        <w:b/>
        <w:color w:val="948A54"/>
        <w:sz w:val="20"/>
        <w:szCs w:val="20"/>
      </w:rPr>
      <w:t xml:space="preserve"> ISR</w:t>
    </w:r>
    <w:r w:rsidR="007E6245" w:rsidRPr="00AC76D0">
      <w:rPr>
        <w:rFonts w:ascii="Book Antiqua" w:hAnsi="Book Antiqua"/>
        <w:sz w:val="20"/>
        <w:szCs w:val="20"/>
      </w:rPr>
      <w:tab/>
    </w:r>
    <w:r w:rsidR="007E6245" w:rsidRPr="00AC76D0">
      <w:rPr>
        <w:rFonts w:ascii="Book Antiqua" w:hAnsi="Book Antiqua"/>
        <w:color w:val="948A54"/>
        <w:sz w:val="20"/>
        <w:szCs w:val="20"/>
      </w:rPr>
      <w:fldChar w:fldCharType="begin"/>
    </w:r>
    <w:r w:rsidR="007E6245" w:rsidRPr="00AC76D0">
      <w:rPr>
        <w:rFonts w:ascii="Book Antiqua" w:hAnsi="Book Antiqua"/>
        <w:color w:val="948A54"/>
        <w:sz w:val="20"/>
        <w:szCs w:val="20"/>
      </w:rPr>
      <w:instrText>PAGE   \* MERGEFORMAT</w:instrText>
    </w:r>
    <w:r w:rsidR="007E6245" w:rsidRPr="00AC76D0">
      <w:rPr>
        <w:rFonts w:ascii="Book Antiqua" w:hAnsi="Book Antiqua"/>
        <w:color w:val="948A54"/>
        <w:sz w:val="20"/>
        <w:szCs w:val="20"/>
      </w:rPr>
      <w:fldChar w:fldCharType="separate"/>
    </w:r>
    <w:r w:rsidR="00080BEA" w:rsidRPr="00AC76D0">
      <w:rPr>
        <w:rFonts w:ascii="Book Antiqua" w:hAnsi="Book Antiqua"/>
        <w:noProof/>
        <w:color w:val="948A54"/>
        <w:sz w:val="20"/>
        <w:szCs w:val="20"/>
      </w:rPr>
      <w:t>10</w:t>
    </w:r>
    <w:r w:rsidR="007E6245" w:rsidRPr="00AC76D0">
      <w:rPr>
        <w:rFonts w:ascii="Book Antiqua" w:hAnsi="Book Antiqua"/>
        <w:color w:val="948A54"/>
        <w:sz w:val="20"/>
        <w:szCs w:val="20"/>
      </w:rPr>
      <w:fldChar w:fldCharType="end"/>
    </w:r>
  </w:p>
  <w:p w14:paraId="5775DB60" w14:textId="77777777" w:rsidR="007E6245" w:rsidRPr="00AC76D0" w:rsidRDefault="007E6245" w:rsidP="00A839E5">
    <w:pPr>
      <w:pStyle w:val="Pieddepage"/>
      <w:tabs>
        <w:tab w:val="clear" w:pos="9072"/>
        <w:tab w:val="right" w:pos="9781"/>
      </w:tabs>
      <w:rPr>
        <w:rFonts w:ascii="Book Antiqua" w:hAnsi="Book Antiqu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ADB3C" w14:textId="77777777" w:rsidR="007E6245" w:rsidRDefault="007E6245" w:rsidP="00346AEF">
      <w:pPr>
        <w:spacing w:after="0" w:line="240" w:lineRule="auto"/>
      </w:pPr>
      <w:r>
        <w:separator/>
      </w:r>
    </w:p>
  </w:footnote>
  <w:footnote w:type="continuationSeparator" w:id="0">
    <w:p w14:paraId="0E90776C" w14:textId="77777777" w:rsidR="007E6245" w:rsidRDefault="007E6245" w:rsidP="00346A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E48A3"/>
    <w:multiLevelType w:val="hybridMultilevel"/>
    <w:tmpl w:val="6FEAEE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2E82777"/>
    <w:multiLevelType w:val="hybridMultilevel"/>
    <w:tmpl w:val="650865E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5302E49"/>
    <w:multiLevelType w:val="hybridMultilevel"/>
    <w:tmpl w:val="C9FC6CE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78E43F2"/>
    <w:multiLevelType w:val="hybridMultilevel"/>
    <w:tmpl w:val="C694C7F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DA73B2F"/>
    <w:multiLevelType w:val="hybridMultilevel"/>
    <w:tmpl w:val="99E6B42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B07D8D"/>
    <w:multiLevelType w:val="hybridMultilevel"/>
    <w:tmpl w:val="AA5062C8"/>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59BA770E"/>
    <w:multiLevelType w:val="hybridMultilevel"/>
    <w:tmpl w:val="57B89A4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5DDF6C49"/>
    <w:multiLevelType w:val="hybridMultilevel"/>
    <w:tmpl w:val="FF8403F0"/>
    <w:lvl w:ilvl="0" w:tplc="4AAE4868">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B34703D"/>
    <w:multiLevelType w:val="hybridMultilevel"/>
    <w:tmpl w:val="24AC3EAC"/>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B61912"/>
    <w:multiLevelType w:val="multilevel"/>
    <w:tmpl w:val="A48C2EF8"/>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04552595">
    <w:abstractNumId w:val="8"/>
  </w:num>
  <w:num w:numId="2" w16cid:durableId="168718263">
    <w:abstractNumId w:val="9"/>
  </w:num>
  <w:num w:numId="3" w16cid:durableId="909656833">
    <w:abstractNumId w:val="6"/>
  </w:num>
  <w:num w:numId="4" w16cid:durableId="618416123">
    <w:abstractNumId w:val="5"/>
  </w:num>
  <w:num w:numId="5" w16cid:durableId="1614359456">
    <w:abstractNumId w:val="7"/>
  </w:num>
  <w:num w:numId="6" w16cid:durableId="392587355">
    <w:abstractNumId w:val="0"/>
  </w:num>
  <w:num w:numId="7" w16cid:durableId="1286042933">
    <w:abstractNumId w:val="4"/>
  </w:num>
  <w:num w:numId="8" w16cid:durableId="2049522221">
    <w:abstractNumId w:val="2"/>
  </w:num>
  <w:num w:numId="9" w16cid:durableId="1037848660">
    <w:abstractNumId w:val="3"/>
  </w:num>
  <w:num w:numId="10" w16cid:durableId="1854412083">
    <w:abstractNumId w:val="1"/>
  </w:num>
  <w:num w:numId="11" w16cid:durableId="17092593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NeedToUniquify" w:val="false"/>
    <w:docVar w:name="APWAFVersion" w:val="5.0"/>
  </w:docVars>
  <w:rsids>
    <w:rsidRoot w:val="007F5A7B"/>
    <w:rsid w:val="00012825"/>
    <w:rsid w:val="00013B28"/>
    <w:rsid w:val="0001487E"/>
    <w:rsid w:val="00014E79"/>
    <w:rsid w:val="00017237"/>
    <w:rsid w:val="0002338A"/>
    <w:rsid w:val="000264DD"/>
    <w:rsid w:val="00026701"/>
    <w:rsid w:val="00031B7B"/>
    <w:rsid w:val="00032F45"/>
    <w:rsid w:val="0003415C"/>
    <w:rsid w:val="00034892"/>
    <w:rsid w:val="00035C56"/>
    <w:rsid w:val="00037135"/>
    <w:rsid w:val="00037781"/>
    <w:rsid w:val="00037C54"/>
    <w:rsid w:val="00040879"/>
    <w:rsid w:val="00046B0E"/>
    <w:rsid w:val="00046EF4"/>
    <w:rsid w:val="000479FB"/>
    <w:rsid w:val="000501FC"/>
    <w:rsid w:val="000511E5"/>
    <w:rsid w:val="000518CF"/>
    <w:rsid w:val="00061210"/>
    <w:rsid w:val="0006267B"/>
    <w:rsid w:val="00063E2D"/>
    <w:rsid w:val="00064AE9"/>
    <w:rsid w:val="00065480"/>
    <w:rsid w:val="000660D5"/>
    <w:rsid w:val="00066118"/>
    <w:rsid w:val="00067192"/>
    <w:rsid w:val="00076898"/>
    <w:rsid w:val="00080BEA"/>
    <w:rsid w:val="00081226"/>
    <w:rsid w:val="000819C8"/>
    <w:rsid w:val="00082A7A"/>
    <w:rsid w:val="00083392"/>
    <w:rsid w:val="00086E19"/>
    <w:rsid w:val="00087455"/>
    <w:rsid w:val="00091439"/>
    <w:rsid w:val="00094113"/>
    <w:rsid w:val="000945C8"/>
    <w:rsid w:val="00095707"/>
    <w:rsid w:val="00096865"/>
    <w:rsid w:val="000A0B22"/>
    <w:rsid w:val="000B068A"/>
    <w:rsid w:val="000B33F7"/>
    <w:rsid w:val="000B65BC"/>
    <w:rsid w:val="000C060C"/>
    <w:rsid w:val="000C0AD9"/>
    <w:rsid w:val="000C1402"/>
    <w:rsid w:val="000C18B7"/>
    <w:rsid w:val="000C20E8"/>
    <w:rsid w:val="000C35CE"/>
    <w:rsid w:val="000D72A4"/>
    <w:rsid w:val="000D7EF9"/>
    <w:rsid w:val="000E1722"/>
    <w:rsid w:val="000E5064"/>
    <w:rsid w:val="000F2C6F"/>
    <w:rsid w:val="000F39B6"/>
    <w:rsid w:val="000F3F23"/>
    <w:rsid w:val="000F4AC2"/>
    <w:rsid w:val="000F76B1"/>
    <w:rsid w:val="001000BF"/>
    <w:rsid w:val="0010051E"/>
    <w:rsid w:val="00103D4A"/>
    <w:rsid w:val="00106973"/>
    <w:rsid w:val="00110DCE"/>
    <w:rsid w:val="00110E90"/>
    <w:rsid w:val="00111207"/>
    <w:rsid w:val="0011560B"/>
    <w:rsid w:val="00116084"/>
    <w:rsid w:val="00117230"/>
    <w:rsid w:val="001259ED"/>
    <w:rsid w:val="00127FE6"/>
    <w:rsid w:val="0013391E"/>
    <w:rsid w:val="00135DCB"/>
    <w:rsid w:val="001362E9"/>
    <w:rsid w:val="001373BF"/>
    <w:rsid w:val="001405A6"/>
    <w:rsid w:val="00141AA9"/>
    <w:rsid w:val="00141C70"/>
    <w:rsid w:val="00145C33"/>
    <w:rsid w:val="00145D7B"/>
    <w:rsid w:val="001474B3"/>
    <w:rsid w:val="00151BC6"/>
    <w:rsid w:val="001526C0"/>
    <w:rsid w:val="00153B83"/>
    <w:rsid w:val="00154AF5"/>
    <w:rsid w:val="00155751"/>
    <w:rsid w:val="0015720B"/>
    <w:rsid w:val="0016045C"/>
    <w:rsid w:val="001606EB"/>
    <w:rsid w:val="0016356F"/>
    <w:rsid w:val="00163A41"/>
    <w:rsid w:val="001676DA"/>
    <w:rsid w:val="0016781F"/>
    <w:rsid w:val="00170810"/>
    <w:rsid w:val="00171AF9"/>
    <w:rsid w:val="001728A1"/>
    <w:rsid w:val="001735DA"/>
    <w:rsid w:val="00175D07"/>
    <w:rsid w:val="0018304C"/>
    <w:rsid w:val="001842A7"/>
    <w:rsid w:val="00191F49"/>
    <w:rsid w:val="00192745"/>
    <w:rsid w:val="00194375"/>
    <w:rsid w:val="0019526F"/>
    <w:rsid w:val="001966D5"/>
    <w:rsid w:val="001A38CD"/>
    <w:rsid w:val="001A4BCC"/>
    <w:rsid w:val="001A57A0"/>
    <w:rsid w:val="001A63AA"/>
    <w:rsid w:val="001A7F24"/>
    <w:rsid w:val="001B13DB"/>
    <w:rsid w:val="001B2A70"/>
    <w:rsid w:val="001B37BA"/>
    <w:rsid w:val="001B5192"/>
    <w:rsid w:val="001B6531"/>
    <w:rsid w:val="001C03EF"/>
    <w:rsid w:val="001C5A99"/>
    <w:rsid w:val="001C7854"/>
    <w:rsid w:val="001D0100"/>
    <w:rsid w:val="001D2DA1"/>
    <w:rsid w:val="001D34C2"/>
    <w:rsid w:val="001D617C"/>
    <w:rsid w:val="001E26C1"/>
    <w:rsid w:val="001E2B4E"/>
    <w:rsid w:val="001E2F59"/>
    <w:rsid w:val="001E32EB"/>
    <w:rsid w:val="001E4369"/>
    <w:rsid w:val="001E5AC8"/>
    <w:rsid w:val="001E5E96"/>
    <w:rsid w:val="001F3106"/>
    <w:rsid w:val="001F6F05"/>
    <w:rsid w:val="001F70AC"/>
    <w:rsid w:val="001F7BF3"/>
    <w:rsid w:val="00200D03"/>
    <w:rsid w:val="00202B30"/>
    <w:rsid w:val="00203EAF"/>
    <w:rsid w:val="00205420"/>
    <w:rsid w:val="0020725A"/>
    <w:rsid w:val="00207FCA"/>
    <w:rsid w:val="00215454"/>
    <w:rsid w:val="0021616E"/>
    <w:rsid w:val="0021769B"/>
    <w:rsid w:val="00217FE5"/>
    <w:rsid w:val="00221954"/>
    <w:rsid w:val="00223FD2"/>
    <w:rsid w:val="00225F93"/>
    <w:rsid w:val="00226AFB"/>
    <w:rsid w:val="00226D57"/>
    <w:rsid w:val="00231916"/>
    <w:rsid w:val="002364B8"/>
    <w:rsid w:val="00237332"/>
    <w:rsid w:val="00240615"/>
    <w:rsid w:val="00243A08"/>
    <w:rsid w:val="0024425D"/>
    <w:rsid w:val="00244D97"/>
    <w:rsid w:val="002454F3"/>
    <w:rsid w:val="0024673C"/>
    <w:rsid w:val="00246B03"/>
    <w:rsid w:val="00250D8E"/>
    <w:rsid w:val="00254B11"/>
    <w:rsid w:val="00256318"/>
    <w:rsid w:val="00261036"/>
    <w:rsid w:val="002614C9"/>
    <w:rsid w:val="00261B65"/>
    <w:rsid w:val="00265DF7"/>
    <w:rsid w:val="00267463"/>
    <w:rsid w:val="00270761"/>
    <w:rsid w:val="002726FB"/>
    <w:rsid w:val="00273ED2"/>
    <w:rsid w:val="00276517"/>
    <w:rsid w:val="00283689"/>
    <w:rsid w:val="00283E24"/>
    <w:rsid w:val="00284EB2"/>
    <w:rsid w:val="00285CA2"/>
    <w:rsid w:val="00286469"/>
    <w:rsid w:val="00290AEF"/>
    <w:rsid w:val="00294315"/>
    <w:rsid w:val="00294A3A"/>
    <w:rsid w:val="00294AF0"/>
    <w:rsid w:val="0029600E"/>
    <w:rsid w:val="002A117D"/>
    <w:rsid w:val="002A11E9"/>
    <w:rsid w:val="002A161C"/>
    <w:rsid w:val="002A74EC"/>
    <w:rsid w:val="002B0C1B"/>
    <w:rsid w:val="002B4BCF"/>
    <w:rsid w:val="002B5B7D"/>
    <w:rsid w:val="002B6FB7"/>
    <w:rsid w:val="002C00BC"/>
    <w:rsid w:val="002C015B"/>
    <w:rsid w:val="002C073E"/>
    <w:rsid w:val="002C18A8"/>
    <w:rsid w:val="002C3E7D"/>
    <w:rsid w:val="002C432B"/>
    <w:rsid w:val="002C658B"/>
    <w:rsid w:val="002C699A"/>
    <w:rsid w:val="002D0428"/>
    <w:rsid w:val="002D2892"/>
    <w:rsid w:val="002D3AEA"/>
    <w:rsid w:val="002D5BBB"/>
    <w:rsid w:val="002D6344"/>
    <w:rsid w:val="002D7FE3"/>
    <w:rsid w:val="002E3488"/>
    <w:rsid w:val="002E3BE9"/>
    <w:rsid w:val="002E4BA0"/>
    <w:rsid w:val="002E55AC"/>
    <w:rsid w:val="002E743A"/>
    <w:rsid w:val="002F22F7"/>
    <w:rsid w:val="002F562F"/>
    <w:rsid w:val="002F721D"/>
    <w:rsid w:val="002F768A"/>
    <w:rsid w:val="00300EAA"/>
    <w:rsid w:val="00301039"/>
    <w:rsid w:val="0030221C"/>
    <w:rsid w:val="00302BBC"/>
    <w:rsid w:val="0030530C"/>
    <w:rsid w:val="00305DED"/>
    <w:rsid w:val="003068A4"/>
    <w:rsid w:val="00307258"/>
    <w:rsid w:val="0031098C"/>
    <w:rsid w:val="00316AC3"/>
    <w:rsid w:val="00316B7B"/>
    <w:rsid w:val="00316E52"/>
    <w:rsid w:val="0032134A"/>
    <w:rsid w:val="0032380C"/>
    <w:rsid w:val="0032589F"/>
    <w:rsid w:val="00330672"/>
    <w:rsid w:val="00330BFC"/>
    <w:rsid w:val="0033484A"/>
    <w:rsid w:val="00334E5A"/>
    <w:rsid w:val="00341EBC"/>
    <w:rsid w:val="00346AEF"/>
    <w:rsid w:val="003470E1"/>
    <w:rsid w:val="0034721F"/>
    <w:rsid w:val="00351F42"/>
    <w:rsid w:val="00352BCB"/>
    <w:rsid w:val="00352E09"/>
    <w:rsid w:val="003541CF"/>
    <w:rsid w:val="00355FC4"/>
    <w:rsid w:val="003564C1"/>
    <w:rsid w:val="00360162"/>
    <w:rsid w:val="003625CD"/>
    <w:rsid w:val="00364C8D"/>
    <w:rsid w:val="003658F5"/>
    <w:rsid w:val="0036668F"/>
    <w:rsid w:val="0037374E"/>
    <w:rsid w:val="00373E3D"/>
    <w:rsid w:val="003747E5"/>
    <w:rsid w:val="00375ECB"/>
    <w:rsid w:val="00377ED3"/>
    <w:rsid w:val="00384C53"/>
    <w:rsid w:val="00390A75"/>
    <w:rsid w:val="00391488"/>
    <w:rsid w:val="00397DAE"/>
    <w:rsid w:val="003A4C08"/>
    <w:rsid w:val="003A5185"/>
    <w:rsid w:val="003A7F95"/>
    <w:rsid w:val="003B1394"/>
    <w:rsid w:val="003B1A33"/>
    <w:rsid w:val="003B20C4"/>
    <w:rsid w:val="003B4377"/>
    <w:rsid w:val="003B7B20"/>
    <w:rsid w:val="003B7BBE"/>
    <w:rsid w:val="003C3B89"/>
    <w:rsid w:val="003C6D01"/>
    <w:rsid w:val="003C7E30"/>
    <w:rsid w:val="003D080E"/>
    <w:rsid w:val="003D0A0A"/>
    <w:rsid w:val="003D4E13"/>
    <w:rsid w:val="003D5B5B"/>
    <w:rsid w:val="003E0C16"/>
    <w:rsid w:val="003E2369"/>
    <w:rsid w:val="003E241F"/>
    <w:rsid w:val="003E26CE"/>
    <w:rsid w:val="003E5901"/>
    <w:rsid w:val="003E6A9C"/>
    <w:rsid w:val="003E6C4A"/>
    <w:rsid w:val="003F050D"/>
    <w:rsid w:val="003F1E1C"/>
    <w:rsid w:val="003F39DC"/>
    <w:rsid w:val="003F620C"/>
    <w:rsid w:val="004015BF"/>
    <w:rsid w:val="00406843"/>
    <w:rsid w:val="00410E8F"/>
    <w:rsid w:val="0041397D"/>
    <w:rsid w:val="00413E50"/>
    <w:rsid w:val="00416797"/>
    <w:rsid w:val="00417DFF"/>
    <w:rsid w:val="0042010F"/>
    <w:rsid w:val="00421A49"/>
    <w:rsid w:val="00421F57"/>
    <w:rsid w:val="00422106"/>
    <w:rsid w:val="00427D8B"/>
    <w:rsid w:val="0043175C"/>
    <w:rsid w:val="00433218"/>
    <w:rsid w:val="0043493F"/>
    <w:rsid w:val="00435EFF"/>
    <w:rsid w:val="00435F5C"/>
    <w:rsid w:val="004406AB"/>
    <w:rsid w:val="00441561"/>
    <w:rsid w:val="00443C4C"/>
    <w:rsid w:val="004447B5"/>
    <w:rsid w:val="00444980"/>
    <w:rsid w:val="00446633"/>
    <w:rsid w:val="00446845"/>
    <w:rsid w:val="00450941"/>
    <w:rsid w:val="00453429"/>
    <w:rsid w:val="0045608D"/>
    <w:rsid w:val="0045699F"/>
    <w:rsid w:val="00461154"/>
    <w:rsid w:val="004613AB"/>
    <w:rsid w:val="0046181D"/>
    <w:rsid w:val="0047509C"/>
    <w:rsid w:val="00476069"/>
    <w:rsid w:val="00476223"/>
    <w:rsid w:val="00476E75"/>
    <w:rsid w:val="004833C3"/>
    <w:rsid w:val="0049273A"/>
    <w:rsid w:val="00493CD0"/>
    <w:rsid w:val="004956F3"/>
    <w:rsid w:val="00497B17"/>
    <w:rsid w:val="004A1867"/>
    <w:rsid w:val="004A44A7"/>
    <w:rsid w:val="004A4D88"/>
    <w:rsid w:val="004A68CC"/>
    <w:rsid w:val="004B369B"/>
    <w:rsid w:val="004B579D"/>
    <w:rsid w:val="004C0DD4"/>
    <w:rsid w:val="004C1184"/>
    <w:rsid w:val="004C3185"/>
    <w:rsid w:val="004C4BE6"/>
    <w:rsid w:val="004C4EC9"/>
    <w:rsid w:val="004C4FFC"/>
    <w:rsid w:val="004C50F8"/>
    <w:rsid w:val="004C7EB3"/>
    <w:rsid w:val="004D1C35"/>
    <w:rsid w:val="004D2C5B"/>
    <w:rsid w:val="004D76F8"/>
    <w:rsid w:val="004E1850"/>
    <w:rsid w:val="004E5BB2"/>
    <w:rsid w:val="004E6EE4"/>
    <w:rsid w:val="004F415B"/>
    <w:rsid w:val="004F4493"/>
    <w:rsid w:val="004F71F8"/>
    <w:rsid w:val="0050060F"/>
    <w:rsid w:val="00501D0E"/>
    <w:rsid w:val="00507AD9"/>
    <w:rsid w:val="00511812"/>
    <w:rsid w:val="00512FBD"/>
    <w:rsid w:val="00513A8A"/>
    <w:rsid w:val="0051557E"/>
    <w:rsid w:val="00515A60"/>
    <w:rsid w:val="00517D5C"/>
    <w:rsid w:val="005272E4"/>
    <w:rsid w:val="005303BC"/>
    <w:rsid w:val="0053047B"/>
    <w:rsid w:val="0053095A"/>
    <w:rsid w:val="00530D94"/>
    <w:rsid w:val="00531C53"/>
    <w:rsid w:val="00531F86"/>
    <w:rsid w:val="0053227B"/>
    <w:rsid w:val="00533D89"/>
    <w:rsid w:val="00534051"/>
    <w:rsid w:val="00537269"/>
    <w:rsid w:val="00543D56"/>
    <w:rsid w:val="00544F20"/>
    <w:rsid w:val="005463F1"/>
    <w:rsid w:val="00552914"/>
    <w:rsid w:val="0055558F"/>
    <w:rsid w:val="00556B29"/>
    <w:rsid w:val="005610B3"/>
    <w:rsid w:val="0056160D"/>
    <w:rsid w:val="00562367"/>
    <w:rsid w:val="005659D9"/>
    <w:rsid w:val="0056677F"/>
    <w:rsid w:val="00572E37"/>
    <w:rsid w:val="0057339B"/>
    <w:rsid w:val="005766D8"/>
    <w:rsid w:val="005812B8"/>
    <w:rsid w:val="00583D5D"/>
    <w:rsid w:val="00584336"/>
    <w:rsid w:val="00585084"/>
    <w:rsid w:val="00585E58"/>
    <w:rsid w:val="00590B27"/>
    <w:rsid w:val="0059101F"/>
    <w:rsid w:val="0059247C"/>
    <w:rsid w:val="0059643F"/>
    <w:rsid w:val="00597A49"/>
    <w:rsid w:val="005A4293"/>
    <w:rsid w:val="005A42A3"/>
    <w:rsid w:val="005A44E4"/>
    <w:rsid w:val="005A5D19"/>
    <w:rsid w:val="005B0B16"/>
    <w:rsid w:val="005B0EFD"/>
    <w:rsid w:val="005B2922"/>
    <w:rsid w:val="005B5416"/>
    <w:rsid w:val="005C0E02"/>
    <w:rsid w:val="005C0ED9"/>
    <w:rsid w:val="005C1A14"/>
    <w:rsid w:val="005C244B"/>
    <w:rsid w:val="005D094B"/>
    <w:rsid w:val="005D2675"/>
    <w:rsid w:val="005D2D70"/>
    <w:rsid w:val="005E1054"/>
    <w:rsid w:val="005E10D9"/>
    <w:rsid w:val="005E4E30"/>
    <w:rsid w:val="005E5490"/>
    <w:rsid w:val="005E7055"/>
    <w:rsid w:val="005F54E8"/>
    <w:rsid w:val="0060105A"/>
    <w:rsid w:val="006012FF"/>
    <w:rsid w:val="006039BF"/>
    <w:rsid w:val="00604EC4"/>
    <w:rsid w:val="00610F8B"/>
    <w:rsid w:val="00614AEF"/>
    <w:rsid w:val="00617573"/>
    <w:rsid w:val="006220C0"/>
    <w:rsid w:val="0062624B"/>
    <w:rsid w:val="0062652E"/>
    <w:rsid w:val="00626686"/>
    <w:rsid w:val="00630194"/>
    <w:rsid w:val="006314DB"/>
    <w:rsid w:val="006318D6"/>
    <w:rsid w:val="00635515"/>
    <w:rsid w:val="00635DB6"/>
    <w:rsid w:val="0063683D"/>
    <w:rsid w:val="00640C28"/>
    <w:rsid w:val="006421D7"/>
    <w:rsid w:val="006428C0"/>
    <w:rsid w:val="00645B45"/>
    <w:rsid w:val="00646A38"/>
    <w:rsid w:val="00647333"/>
    <w:rsid w:val="00651E1E"/>
    <w:rsid w:val="00651E34"/>
    <w:rsid w:val="00653173"/>
    <w:rsid w:val="00666708"/>
    <w:rsid w:val="00666CF2"/>
    <w:rsid w:val="00667FF9"/>
    <w:rsid w:val="00670E05"/>
    <w:rsid w:val="00676BC0"/>
    <w:rsid w:val="006814BA"/>
    <w:rsid w:val="00681AE8"/>
    <w:rsid w:val="00686A0D"/>
    <w:rsid w:val="00694F56"/>
    <w:rsid w:val="006A08E2"/>
    <w:rsid w:val="006A1515"/>
    <w:rsid w:val="006A2D93"/>
    <w:rsid w:val="006A4160"/>
    <w:rsid w:val="006A5084"/>
    <w:rsid w:val="006B0AC5"/>
    <w:rsid w:val="006B1805"/>
    <w:rsid w:val="006B22F1"/>
    <w:rsid w:val="006B23A7"/>
    <w:rsid w:val="006B2A55"/>
    <w:rsid w:val="006B2C54"/>
    <w:rsid w:val="006B3623"/>
    <w:rsid w:val="006B5F57"/>
    <w:rsid w:val="006B63AF"/>
    <w:rsid w:val="006B77A7"/>
    <w:rsid w:val="006C0B05"/>
    <w:rsid w:val="006C260D"/>
    <w:rsid w:val="006C281F"/>
    <w:rsid w:val="006C5B7A"/>
    <w:rsid w:val="006C60E8"/>
    <w:rsid w:val="006C64B8"/>
    <w:rsid w:val="006C7F1A"/>
    <w:rsid w:val="006D06C0"/>
    <w:rsid w:val="006D11E1"/>
    <w:rsid w:val="006E1CDF"/>
    <w:rsid w:val="006E3035"/>
    <w:rsid w:val="006E3760"/>
    <w:rsid w:val="006E73FB"/>
    <w:rsid w:val="006F1861"/>
    <w:rsid w:val="006F30EA"/>
    <w:rsid w:val="006F31D8"/>
    <w:rsid w:val="006F6B08"/>
    <w:rsid w:val="00701D5E"/>
    <w:rsid w:val="00705BC0"/>
    <w:rsid w:val="00705F3B"/>
    <w:rsid w:val="007069FF"/>
    <w:rsid w:val="0071154A"/>
    <w:rsid w:val="007131EE"/>
    <w:rsid w:val="0071370D"/>
    <w:rsid w:val="00713818"/>
    <w:rsid w:val="00714BB3"/>
    <w:rsid w:val="007257E6"/>
    <w:rsid w:val="007258D0"/>
    <w:rsid w:val="007263A1"/>
    <w:rsid w:val="00731CA6"/>
    <w:rsid w:val="00734DFC"/>
    <w:rsid w:val="0073760D"/>
    <w:rsid w:val="007417DD"/>
    <w:rsid w:val="00742DC5"/>
    <w:rsid w:val="00743AF6"/>
    <w:rsid w:val="00745EDA"/>
    <w:rsid w:val="00751CB7"/>
    <w:rsid w:val="007565BA"/>
    <w:rsid w:val="00756F2E"/>
    <w:rsid w:val="00762EF4"/>
    <w:rsid w:val="00767DC3"/>
    <w:rsid w:val="00770C6C"/>
    <w:rsid w:val="00770EB3"/>
    <w:rsid w:val="0077176F"/>
    <w:rsid w:val="007735F9"/>
    <w:rsid w:val="00774B9E"/>
    <w:rsid w:val="007756A9"/>
    <w:rsid w:val="00783C72"/>
    <w:rsid w:val="00787E4F"/>
    <w:rsid w:val="00790E15"/>
    <w:rsid w:val="00793030"/>
    <w:rsid w:val="007931F9"/>
    <w:rsid w:val="00794854"/>
    <w:rsid w:val="00794EDD"/>
    <w:rsid w:val="007958E0"/>
    <w:rsid w:val="00797340"/>
    <w:rsid w:val="007A0867"/>
    <w:rsid w:val="007A16E1"/>
    <w:rsid w:val="007A2C29"/>
    <w:rsid w:val="007B0594"/>
    <w:rsid w:val="007B0C82"/>
    <w:rsid w:val="007B2248"/>
    <w:rsid w:val="007B370E"/>
    <w:rsid w:val="007B49CA"/>
    <w:rsid w:val="007B5725"/>
    <w:rsid w:val="007C001B"/>
    <w:rsid w:val="007C0C71"/>
    <w:rsid w:val="007C2429"/>
    <w:rsid w:val="007C3206"/>
    <w:rsid w:val="007C38DB"/>
    <w:rsid w:val="007C550F"/>
    <w:rsid w:val="007D3F3B"/>
    <w:rsid w:val="007D49C0"/>
    <w:rsid w:val="007D52D1"/>
    <w:rsid w:val="007D72DE"/>
    <w:rsid w:val="007E028C"/>
    <w:rsid w:val="007E14E7"/>
    <w:rsid w:val="007E33F0"/>
    <w:rsid w:val="007E6245"/>
    <w:rsid w:val="007E70B5"/>
    <w:rsid w:val="007F073D"/>
    <w:rsid w:val="007F3917"/>
    <w:rsid w:val="007F5A7B"/>
    <w:rsid w:val="007F5F65"/>
    <w:rsid w:val="007F687C"/>
    <w:rsid w:val="007F6F8C"/>
    <w:rsid w:val="00801887"/>
    <w:rsid w:val="00803A12"/>
    <w:rsid w:val="00807432"/>
    <w:rsid w:val="008132A4"/>
    <w:rsid w:val="00820373"/>
    <w:rsid w:val="00823A39"/>
    <w:rsid w:val="0082593D"/>
    <w:rsid w:val="0082634A"/>
    <w:rsid w:val="008328E4"/>
    <w:rsid w:val="00833528"/>
    <w:rsid w:val="00836FB1"/>
    <w:rsid w:val="0083732D"/>
    <w:rsid w:val="008400AA"/>
    <w:rsid w:val="00840A23"/>
    <w:rsid w:val="0084114E"/>
    <w:rsid w:val="0084462E"/>
    <w:rsid w:val="00844DA0"/>
    <w:rsid w:val="00845A24"/>
    <w:rsid w:val="00856AAA"/>
    <w:rsid w:val="00860441"/>
    <w:rsid w:val="00863D3D"/>
    <w:rsid w:val="00870A96"/>
    <w:rsid w:val="00871E1C"/>
    <w:rsid w:val="00880308"/>
    <w:rsid w:val="00881D86"/>
    <w:rsid w:val="00882370"/>
    <w:rsid w:val="008830EA"/>
    <w:rsid w:val="00883979"/>
    <w:rsid w:val="0088459F"/>
    <w:rsid w:val="00885123"/>
    <w:rsid w:val="00885F11"/>
    <w:rsid w:val="00886104"/>
    <w:rsid w:val="008877A4"/>
    <w:rsid w:val="00892877"/>
    <w:rsid w:val="0089798B"/>
    <w:rsid w:val="008A2FA6"/>
    <w:rsid w:val="008A4913"/>
    <w:rsid w:val="008A513A"/>
    <w:rsid w:val="008A54BE"/>
    <w:rsid w:val="008A5ADE"/>
    <w:rsid w:val="008B3495"/>
    <w:rsid w:val="008B49B2"/>
    <w:rsid w:val="008B5306"/>
    <w:rsid w:val="008B571E"/>
    <w:rsid w:val="008B5746"/>
    <w:rsid w:val="008B7402"/>
    <w:rsid w:val="008C24E6"/>
    <w:rsid w:val="008C3F10"/>
    <w:rsid w:val="008C40C1"/>
    <w:rsid w:val="008C506D"/>
    <w:rsid w:val="008C52BE"/>
    <w:rsid w:val="008D0462"/>
    <w:rsid w:val="008D4C83"/>
    <w:rsid w:val="008D4CF3"/>
    <w:rsid w:val="008D5564"/>
    <w:rsid w:val="008D66D1"/>
    <w:rsid w:val="008E0598"/>
    <w:rsid w:val="008E2063"/>
    <w:rsid w:val="008E42E0"/>
    <w:rsid w:val="008E6E43"/>
    <w:rsid w:val="008F06F9"/>
    <w:rsid w:val="008F3D44"/>
    <w:rsid w:val="008F444A"/>
    <w:rsid w:val="008F7A4A"/>
    <w:rsid w:val="0090039D"/>
    <w:rsid w:val="009012A7"/>
    <w:rsid w:val="0090179E"/>
    <w:rsid w:val="00904732"/>
    <w:rsid w:val="00910E39"/>
    <w:rsid w:val="0091543F"/>
    <w:rsid w:val="009269E3"/>
    <w:rsid w:val="009278E2"/>
    <w:rsid w:val="00930D31"/>
    <w:rsid w:val="00930F04"/>
    <w:rsid w:val="00935747"/>
    <w:rsid w:val="0093668D"/>
    <w:rsid w:val="00941449"/>
    <w:rsid w:val="009455F7"/>
    <w:rsid w:val="00945DE0"/>
    <w:rsid w:val="00945F7E"/>
    <w:rsid w:val="009533EE"/>
    <w:rsid w:val="00955F25"/>
    <w:rsid w:val="009602C6"/>
    <w:rsid w:val="0096130C"/>
    <w:rsid w:val="009624D2"/>
    <w:rsid w:val="009630E4"/>
    <w:rsid w:val="00963D32"/>
    <w:rsid w:val="009651F7"/>
    <w:rsid w:val="00971BFB"/>
    <w:rsid w:val="00971C4E"/>
    <w:rsid w:val="00972CA0"/>
    <w:rsid w:val="009734AA"/>
    <w:rsid w:val="009734AE"/>
    <w:rsid w:val="00977C49"/>
    <w:rsid w:val="00980DA4"/>
    <w:rsid w:val="00982EA2"/>
    <w:rsid w:val="00984F4A"/>
    <w:rsid w:val="00990A1A"/>
    <w:rsid w:val="00992DE5"/>
    <w:rsid w:val="00994293"/>
    <w:rsid w:val="00997044"/>
    <w:rsid w:val="009A0963"/>
    <w:rsid w:val="009A0D85"/>
    <w:rsid w:val="009A15FF"/>
    <w:rsid w:val="009A1839"/>
    <w:rsid w:val="009A3C9D"/>
    <w:rsid w:val="009A6840"/>
    <w:rsid w:val="009A70D5"/>
    <w:rsid w:val="009A7403"/>
    <w:rsid w:val="009A773A"/>
    <w:rsid w:val="009A78D3"/>
    <w:rsid w:val="009B3727"/>
    <w:rsid w:val="009B5617"/>
    <w:rsid w:val="009B6D43"/>
    <w:rsid w:val="009C077F"/>
    <w:rsid w:val="009D0F80"/>
    <w:rsid w:val="009D1F0F"/>
    <w:rsid w:val="009D777C"/>
    <w:rsid w:val="009E0272"/>
    <w:rsid w:val="009E15C9"/>
    <w:rsid w:val="009E2F18"/>
    <w:rsid w:val="009E3C49"/>
    <w:rsid w:val="009E3F02"/>
    <w:rsid w:val="009E718A"/>
    <w:rsid w:val="009F1AE3"/>
    <w:rsid w:val="009F2426"/>
    <w:rsid w:val="009F26BB"/>
    <w:rsid w:val="00A018F0"/>
    <w:rsid w:val="00A020A9"/>
    <w:rsid w:val="00A02C00"/>
    <w:rsid w:val="00A02EDF"/>
    <w:rsid w:val="00A0422E"/>
    <w:rsid w:val="00A13D16"/>
    <w:rsid w:val="00A14E92"/>
    <w:rsid w:val="00A1788D"/>
    <w:rsid w:val="00A238FE"/>
    <w:rsid w:val="00A27631"/>
    <w:rsid w:val="00A27EF9"/>
    <w:rsid w:val="00A311B0"/>
    <w:rsid w:val="00A3430B"/>
    <w:rsid w:val="00A34A5E"/>
    <w:rsid w:val="00A4652B"/>
    <w:rsid w:val="00A5218A"/>
    <w:rsid w:val="00A5286E"/>
    <w:rsid w:val="00A52996"/>
    <w:rsid w:val="00A54078"/>
    <w:rsid w:val="00A65226"/>
    <w:rsid w:val="00A65458"/>
    <w:rsid w:val="00A66840"/>
    <w:rsid w:val="00A6709B"/>
    <w:rsid w:val="00A701AB"/>
    <w:rsid w:val="00A70616"/>
    <w:rsid w:val="00A72972"/>
    <w:rsid w:val="00A77867"/>
    <w:rsid w:val="00A77F82"/>
    <w:rsid w:val="00A839E5"/>
    <w:rsid w:val="00A877BB"/>
    <w:rsid w:val="00A921D9"/>
    <w:rsid w:val="00A967B9"/>
    <w:rsid w:val="00A9793D"/>
    <w:rsid w:val="00AA62B6"/>
    <w:rsid w:val="00AA665C"/>
    <w:rsid w:val="00AB3043"/>
    <w:rsid w:val="00AB3152"/>
    <w:rsid w:val="00AB411E"/>
    <w:rsid w:val="00AB4176"/>
    <w:rsid w:val="00AB5209"/>
    <w:rsid w:val="00AB6DF0"/>
    <w:rsid w:val="00AC06DF"/>
    <w:rsid w:val="00AC0DBA"/>
    <w:rsid w:val="00AC5A95"/>
    <w:rsid w:val="00AC76D0"/>
    <w:rsid w:val="00AD080C"/>
    <w:rsid w:val="00AD29CA"/>
    <w:rsid w:val="00AD4B9D"/>
    <w:rsid w:val="00AE2445"/>
    <w:rsid w:val="00AE27FF"/>
    <w:rsid w:val="00AE3348"/>
    <w:rsid w:val="00AE7355"/>
    <w:rsid w:val="00AF0728"/>
    <w:rsid w:val="00AF2334"/>
    <w:rsid w:val="00AF2D6E"/>
    <w:rsid w:val="00AF5223"/>
    <w:rsid w:val="00AF7E63"/>
    <w:rsid w:val="00B009BD"/>
    <w:rsid w:val="00B03625"/>
    <w:rsid w:val="00B03DEE"/>
    <w:rsid w:val="00B063F8"/>
    <w:rsid w:val="00B0658F"/>
    <w:rsid w:val="00B10ACF"/>
    <w:rsid w:val="00B11671"/>
    <w:rsid w:val="00B11674"/>
    <w:rsid w:val="00B142B7"/>
    <w:rsid w:val="00B15B09"/>
    <w:rsid w:val="00B15D72"/>
    <w:rsid w:val="00B2145B"/>
    <w:rsid w:val="00B32F34"/>
    <w:rsid w:val="00B360F3"/>
    <w:rsid w:val="00B421EB"/>
    <w:rsid w:val="00B444F3"/>
    <w:rsid w:val="00B47517"/>
    <w:rsid w:val="00B52109"/>
    <w:rsid w:val="00B524EB"/>
    <w:rsid w:val="00B5275F"/>
    <w:rsid w:val="00B5683A"/>
    <w:rsid w:val="00B56F48"/>
    <w:rsid w:val="00B57336"/>
    <w:rsid w:val="00B6070F"/>
    <w:rsid w:val="00B63881"/>
    <w:rsid w:val="00B65E6D"/>
    <w:rsid w:val="00B663C0"/>
    <w:rsid w:val="00B6668F"/>
    <w:rsid w:val="00B671BD"/>
    <w:rsid w:val="00B6774A"/>
    <w:rsid w:val="00B70800"/>
    <w:rsid w:val="00B73407"/>
    <w:rsid w:val="00B75492"/>
    <w:rsid w:val="00B75AC9"/>
    <w:rsid w:val="00B75C70"/>
    <w:rsid w:val="00B8034C"/>
    <w:rsid w:val="00B81D51"/>
    <w:rsid w:val="00B82FAB"/>
    <w:rsid w:val="00B83A53"/>
    <w:rsid w:val="00B844AD"/>
    <w:rsid w:val="00B92628"/>
    <w:rsid w:val="00B94BEC"/>
    <w:rsid w:val="00BA08D2"/>
    <w:rsid w:val="00BA3991"/>
    <w:rsid w:val="00BA3D07"/>
    <w:rsid w:val="00BA5422"/>
    <w:rsid w:val="00BA6C69"/>
    <w:rsid w:val="00BA6E65"/>
    <w:rsid w:val="00BA720F"/>
    <w:rsid w:val="00BB4DCA"/>
    <w:rsid w:val="00BB721F"/>
    <w:rsid w:val="00BB74DB"/>
    <w:rsid w:val="00BC1212"/>
    <w:rsid w:val="00BC46E3"/>
    <w:rsid w:val="00BC7A4B"/>
    <w:rsid w:val="00BD21F4"/>
    <w:rsid w:val="00BD49CE"/>
    <w:rsid w:val="00BD5F20"/>
    <w:rsid w:val="00BD77E3"/>
    <w:rsid w:val="00BE2664"/>
    <w:rsid w:val="00BE6684"/>
    <w:rsid w:val="00BF2D83"/>
    <w:rsid w:val="00BF3DA9"/>
    <w:rsid w:val="00BF46EB"/>
    <w:rsid w:val="00C002C4"/>
    <w:rsid w:val="00C00916"/>
    <w:rsid w:val="00C0175A"/>
    <w:rsid w:val="00C03492"/>
    <w:rsid w:val="00C06F6C"/>
    <w:rsid w:val="00C07435"/>
    <w:rsid w:val="00C07F7C"/>
    <w:rsid w:val="00C108D2"/>
    <w:rsid w:val="00C10D1E"/>
    <w:rsid w:val="00C11808"/>
    <w:rsid w:val="00C1195F"/>
    <w:rsid w:val="00C16345"/>
    <w:rsid w:val="00C17502"/>
    <w:rsid w:val="00C17EC9"/>
    <w:rsid w:val="00C20853"/>
    <w:rsid w:val="00C21662"/>
    <w:rsid w:val="00C21763"/>
    <w:rsid w:val="00C21B76"/>
    <w:rsid w:val="00C26126"/>
    <w:rsid w:val="00C30773"/>
    <w:rsid w:val="00C309D3"/>
    <w:rsid w:val="00C31A4D"/>
    <w:rsid w:val="00C3370E"/>
    <w:rsid w:val="00C33C5B"/>
    <w:rsid w:val="00C373D4"/>
    <w:rsid w:val="00C37F05"/>
    <w:rsid w:val="00C4054F"/>
    <w:rsid w:val="00C43B67"/>
    <w:rsid w:val="00C46B32"/>
    <w:rsid w:val="00C53481"/>
    <w:rsid w:val="00C53A4C"/>
    <w:rsid w:val="00C55B52"/>
    <w:rsid w:val="00C55CEF"/>
    <w:rsid w:val="00C57F51"/>
    <w:rsid w:val="00C62971"/>
    <w:rsid w:val="00C70F2E"/>
    <w:rsid w:val="00C72DEA"/>
    <w:rsid w:val="00C73150"/>
    <w:rsid w:val="00C73569"/>
    <w:rsid w:val="00C73C5A"/>
    <w:rsid w:val="00C751EE"/>
    <w:rsid w:val="00C768D8"/>
    <w:rsid w:val="00C770FC"/>
    <w:rsid w:val="00C81453"/>
    <w:rsid w:val="00C84A2E"/>
    <w:rsid w:val="00C90DC1"/>
    <w:rsid w:val="00C90E89"/>
    <w:rsid w:val="00C97D41"/>
    <w:rsid w:val="00CA27B2"/>
    <w:rsid w:val="00CA3600"/>
    <w:rsid w:val="00CB0E27"/>
    <w:rsid w:val="00CB166F"/>
    <w:rsid w:val="00CB3948"/>
    <w:rsid w:val="00CB4950"/>
    <w:rsid w:val="00CB5900"/>
    <w:rsid w:val="00CB5976"/>
    <w:rsid w:val="00CC0A84"/>
    <w:rsid w:val="00CC0AFB"/>
    <w:rsid w:val="00CC44C8"/>
    <w:rsid w:val="00CC6199"/>
    <w:rsid w:val="00CD0077"/>
    <w:rsid w:val="00CD1DA2"/>
    <w:rsid w:val="00CD619B"/>
    <w:rsid w:val="00CD715D"/>
    <w:rsid w:val="00CE02B2"/>
    <w:rsid w:val="00CE2015"/>
    <w:rsid w:val="00CE24B9"/>
    <w:rsid w:val="00CE315D"/>
    <w:rsid w:val="00CE3242"/>
    <w:rsid w:val="00CE4508"/>
    <w:rsid w:val="00CE4896"/>
    <w:rsid w:val="00CE68CF"/>
    <w:rsid w:val="00CE6CEA"/>
    <w:rsid w:val="00CE75C3"/>
    <w:rsid w:val="00CF166D"/>
    <w:rsid w:val="00CF23FD"/>
    <w:rsid w:val="00CF5DC2"/>
    <w:rsid w:val="00CF6477"/>
    <w:rsid w:val="00CF6E5B"/>
    <w:rsid w:val="00D00676"/>
    <w:rsid w:val="00D00FDB"/>
    <w:rsid w:val="00D02E69"/>
    <w:rsid w:val="00D05FAA"/>
    <w:rsid w:val="00D11D71"/>
    <w:rsid w:val="00D12B00"/>
    <w:rsid w:val="00D140B7"/>
    <w:rsid w:val="00D22E7E"/>
    <w:rsid w:val="00D254FD"/>
    <w:rsid w:val="00D26D00"/>
    <w:rsid w:val="00D27256"/>
    <w:rsid w:val="00D27691"/>
    <w:rsid w:val="00D31194"/>
    <w:rsid w:val="00D33B10"/>
    <w:rsid w:val="00D34B44"/>
    <w:rsid w:val="00D37377"/>
    <w:rsid w:val="00D40CAA"/>
    <w:rsid w:val="00D438A7"/>
    <w:rsid w:val="00D449D8"/>
    <w:rsid w:val="00D516B9"/>
    <w:rsid w:val="00D53CD2"/>
    <w:rsid w:val="00D545EA"/>
    <w:rsid w:val="00D54B15"/>
    <w:rsid w:val="00D56F1F"/>
    <w:rsid w:val="00D613E0"/>
    <w:rsid w:val="00D61E7E"/>
    <w:rsid w:val="00D650D4"/>
    <w:rsid w:val="00D666A5"/>
    <w:rsid w:val="00D66CA2"/>
    <w:rsid w:val="00D71854"/>
    <w:rsid w:val="00D71F8B"/>
    <w:rsid w:val="00D77F2F"/>
    <w:rsid w:val="00D807FB"/>
    <w:rsid w:val="00D808BD"/>
    <w:rsid w:val="00D81066"/>
    <w:rsid w:val="00D82A63"/>
    <w:rsid w:val="00D82BA8"/>
    <w:rsid w:val="00D8389A"/>
    <w:rsid w:val="00D83EE9"/>
    <w:rsid w:val="00D8461F"/>
    <w:rsid w:val="00D870A9"/>
    <w:rsid w:val="00DA41A2"/>
    <w:rsid w:val="00DA4DA8"/>
    <w:rsid w:val="00DA6A0D"/>
    <w:rsid w:val="00DB43A2"/>
    <w:rsid w:val="00DB5389"/>
    <w:rsid w:val="00DB6490"/>
    <w:rsid w:val="00DB7747"/>
    <w:rsid w:val="00DC1473"/>
    <w:rsid w:val="00DC1F46"/>
    <w:rsid w:val="00DC43DA"/>
    <w:rsid w:val="00DC4D94"/>
    <w:rsid w:val="00DC6636"/>
    <w:rsid w:val="00DC6E15"/>
    <w:rsid w:val="00DD1877"/>
    <w:rsid w:val="00DD18CD"/>
    <w:rsid w:val="00DD289F"/>
    <w:rsid w:val="00DD31E0"/>
    <w:rsid w:val="00DD5313"/>
    <w:rsid w:val="00DD602A"/>
    <w:rsid w:val="00DD7217"/>
    <w:rsid w:val="00DE0BB2"/>
    <w:rsid w:val="00DE1718"/>
    <w:rsid w:val="00DE1DCE"/>
    <w:rsid w:val="00DF125D"/>
    <w:rsid w:val="00DF4B08"/>
    <w:rsid w:val="00DF58E6"/>
    <w:rsid w:val="00E13D3C"/>
    <w:rsid w:val="00E23A3C"/>
    <w:rsid w:val="00E27534"/>
    <w:rsid w:val="00E302E9"/>
    <w:rsid w:val="00E407E1"/>
    <w:rsid w:val="00E43D35"/>
    <w:rsid w:val="00E43E90"/>
    <w:rsid w:val="00E54166"/>
    <w:rsid w:val="00E54B32"/>
    <w:rsid w:val="00E54C09"/>
    <w:rsid w:val="00E60013"/>
    <w:rsid w:val="00E6029B"/>
    <w:rsid w:val="00E611DE"/>
    <w:rsid w:val="00E61727"/>
    <w:rsid w:val="00E66639"/>
    <w:rsid w:val="00E736DB"/>
    <w:rsid w:val="00E74BDC"/>
    <w:rsid w:val="00E74D9D"/>
    <w:rsid w:val="00E85591"/>
    <w:rsid w:val="00E85CF7"/>
    <w:rsid w:val="00E86145"/>
    <w:rsid w:val="00E9203D"/>
    <w:rsid w:val="00E93D42"/>
    <w:rsid w:val="00E94E5A"/>
    <w:rsid w:val="00E95721"/>
    <w:rsid w:val="00E9641A"/>
    <w:rsid w:val="00EA00ED"/>
    <w:rsid w:val="00EA4881"/>
    <w:rsid w:val="00EA4C9F"/>
    <w:rsid w:val="00EB03E4"/>
    <w:rsid w:val="00EB07A4"/>
    <w:rsid w:val="00EB10C2"/>
    <w:rsid w:val="00EB1944"/>
    <w:rsid w:val="00EB27B3"/>
    <w:rsid w:val="00EB4413"/>
    <w:rsid w:val="00EB5120"/>
    <w:rsid w:val="00EB6433"/>
    <w:rsid w:val="00EC4C96"/>
    <w:rsid w:val="00ED5C8B"/>
    <w:rsid w:val="00ED663F"/>
    <w:rsid w:val="00EE2B66"/>
    <w:rsid w:val="00EE2C86"/>
    <w:rsid w:val="00EE5E34"/>
    <w:rsid w:val="00EE644D"/>
    <w:rsid w:val="00EE7AE4"/>
    <w:rsid w:val="00EF464C"/>
    <w:rsid w:val="00EF6477"/>
    <w:rsid w:val="00EF7268"/>
    <w:rsid w:val="00F06417"/>
    <w:rsid w:val="00F072AD"/>
    <w:rsid w:val="00F10B7E"/>
    <w:rsid w:val="00F11144"/>
    <w:rsid w:val="00F11D52"/>
    <w:rsid w:val="00F12125"/>
    <w:rsid w:val="00F1333A"/>
    <w:rsid w:val="00F13C42"/>
    <w:rsid w:val="00F155E9"/>
    <w:rsid w:val="00F17800"/>
    <w:rsid w:val="00F178A2"/>
    <w:rsid w:val="00F23125"/>
    <w:rsid w:val="00F2592E"/>
    <w:rsid w:val="00F3160D"/>
    <w:rsid w:val="00F32B19"/>
    <w:rsid w:val="00F354BC"/>
    <w:rsid w:val="00F35569"/>
    <w:rsid w:val="00F35FA4"/>
    <w:rsid w:val="00F368CC"/>
    <w:rsid w:val="00F37AF3"/>
    <w:rsid w:val="00F40ED6"/>
    <w:rsid w:val="00F42C95"/>
    <w:rsid w:val="00F4732D"/>
    <w:rsid w:val="00F50E69"/>
    <w:rsid w:val="00F51863"/>
    <w:rsid w:val="00F53D03"/>
    <w:rsid w:val="00F54281"/>
    <w:rsid w:val="00F54CEA"/>
    <w:rsid w:val="00F54DE2"/>
    <w:rsid w:val="00F60D43"/>
    <w:rsid w:val="00F61DB6"/>
    <w:rsid w:val="00F7065E"/>
    <w:rsid w:val="00F737CE"/>
    <w:rsid w:val="00F74476"/>
    <w:rsid w:val="00F8265C"/>
    <w:rsid w:val="00F82ACB"/>
    <w:rsid w:val="00F86027"/>
    <w:rsid w:val="00F861EA"/>
    <w:rsid w:val="00F86F34"/>
    <w:rsid w:val="00FA0E70"/>
    <w:rsid w:val="00FA1991"/>
    <w:rsid w:val="00FA730B"/>
    <w:rsid w:val="00FB2F17"/>
    <w:rsid w:val="00FB3C65"/>
    <w:rsid w:val="00FB481E"/>
    <w:rsid w:val="00FB6B97"/>
    <w:rsid w:val="00FC021D"/>
    <w:rsid w:val="00FC0C9C"/>
    <w:rsid w:val="00FC10DB"/>
    <w:rsid w:val="00FC2D98"/>
    <w:rsid w:val="00FC414A"/>
    <w:rsid w:val="00FD14A4"/>
    <w:rsid w:val="00FF075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14:docId w14:val="67110CF9"/>
  <w15:docId w15:val="{1362B96B-7008-475C-93CD-FBF3F3737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4C1"/>
    <w:pPr>
      <w:spacing w:after="200" w:line="276" w:lineRule="auto"/>
    </w:pPr>
    <w:rPr>
      <w:lang w:val="fr-FR" w:eastAsia="fr-FR"/>
    </w:rPr>
  </w:style>
  <w:style w:type="paragraph" w:styleId="Titre1">
    <w:name w:val="heading 1"/>
    <w:basedOn w:val="Paragraphedeliste"/>
    <w:next w:val="Normal"/>
    <w:link w:val="Titre1Car"/>
    <w:uiPriority w:val="9"/>
    <w:qFormat/>
    <w:locked/>
    <w:rsid w:val="00B81D51"/>
    <w:pPr>
      <w:numPr>
        <w:numId w:val="2"/>
      </w:numPr>
      <w:tabs>
        <w:tab w:val="right" w:pos="4111"/>
      </w:tabs>
      <w:spacing w:after="360"/>
      <w:contextualSpacing w:val="0"/>
      <w:outlineLvl w:val="0"/>
    </w:pPr>
    <w:rPr>
      <w:rFonts w:ascii="Book Antiqua" w:hAnsi="Book Antiqua"/>
      <w:b/>
      <w:color w:val="948A54"/>
      <w:sz w:val="32"/>
      <w:szCs w:val="32"/>
      <w:u w:val="single"/>
    </w:rPr>
  </w:style>
  <w:style w:type="paragraph" w:styleId="Titre2">
    <w:name w:val="heading 2"/>
    <w:basedOn w:val="Titre1"/>
    <w:next w:val="Normal"/>
    <w:link w:val="Titre2Car"/>
    <w:autoRedefine/>
    <w:uiPriority w:val="99"/>
    <w:qFormat/>
    <w:rsid w:val="006B2C54"/>
    <w:pPr>
      <w:numPr>
        <w:ilvl w:val="1"/>
      </w:numPr>
      <w:ind w:left="993" w:hanging="633"/>
      <w:jc w:val="both"/>
      <w:outlineLvl w:val="1"/>
    </w:pPr>
    <w:rPr>
      <w:sz w:val="28"/>
      <w:szCs w:val="28"/>
      <w:u w:val="none"/>
    </w:rPr>
  </w:style>
  <w:style w:type="paragraph" w:styleId="Titre3">
    <w:name w:val="heading 3"/>
    <w:basedOn w:val="Normal"/>
    <w:next w:val="Normal"/>
    <w:link w:val="Titre3Car"/>
    <w:autoRedefine/>
    <w:uiPriority w:val="99"/>
    <w:qFormat/>
    <w:rsid w:val="0053095A"/>
    <w:pPr>
      <w:keepNext/>
      <w:spacing w:after="0" w:line="240" w:lineRule="auto"/>
      <w:outlineLvl w:val="2"/>
    </w:pPr>
    <w:rPr>
      <w:rFonts w:ascii="Arial" w:hAnsi="Arial"/>
      <w:b/>
      <w:smallCaps/>
      <w:color w:val="000000"/>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6B2C54"/>
    <w:rPr>
      <w:rFonts w:ascii="Book Antiqua" w:hAnsi="Book Antiqua"/>
      <w:b/>
      <w:color w:val="948A54"/>
      <w:sz w:val="28"/>
      <w:szCs w:val="28"/>
      <w:lang w:val="fr-FR" w:eastAsia="fr-FR"/>
    </w:rPr>
  </w:style>
  <w:style w:type="character" w:customStyle="1" w:styleId="Titre3Car">
    <w:name w:val="Titre 3 Car"/>
    <w:basedOn w:val="Policepardfaut"/>
    <w:link w:val="Titre3"/>
    <w:uiPriority w:val="99"/>
    <w:locked/>
    <w:rsid w:val="0053095A"/>
    <w:rPr>
      <w:rFonts w:ascii="Arial" w:hAnsi="Arial" w:cs="Times New Roman"/>
      <w:b/>
      <w:smallCaps/>
      <w:color w:val="000000"/>
      <w:sz w:val="20"/>
      <w:szCs w:val="20"/>
      <w:u w:val="single"/>
      <w:lang w:eastAsia="fr-FR"/>
    </w:rPr>
  </w:style>
  <w:style w:type="paragraph" w:styleId="Paragraphedeliste">
    <w:name w:val="List Paragraph"/>
    <w:basedOn w:val="Normal"/>
    <w:uiPriority w:val="34"/>
    <w:qFormat/>
    <w:rsid w:val="00E611DE"/>
    <w:pPr>
      <w:ind w:left="720"/>
      <w:contextualSpacing/>
    </w:pPr>
  </w:style>
  <w:style w:type="table" w:styleId="Grilledutableau">
    <w:name w:val="Table Grid"/>
    <w:basedOn w:val="TableauNormal"/>
    <w:uiPriority w:val="39"/>
    <w:rsid w:val="00BE266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Ombrageclair1">
    <w:name w:val="Ombrage clair1"/>
    <w:uiPriority w:val="99"/>
    <w:rsid w:val="00BE2664"/>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styleId="Grillemoyenne3-Accent2">
    <w:name w:val="Medium Grid 3 Accent 2"/>
    <w:basedOn w:val="TableauNormal"/>
    <w:uiPriority w:val="99"/>
    <w:rsid w:val="00B56F48"/>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En-tte">
    <w:name w:val="header"/>
    <w:basedOn w:val="Normal"/>
    <w:link w:val="En-tteCar"/>
    <w:uiPriority w:val="99"/>
    <w:rsid w:val="0053095A"/>
    <w:pPr>
      <w:tabs>
        <w:tab w:val="center" w:pos="4536"/>
        <w:tab w:val="right" w:pos="9072"/>
      </w:tabs>
      <w:spacing w:after="0" w:line="240" w:lineRule="auto"/>
    </w:pPr>
    <w:rPr>
      <w:rFonts w:ascii="Arial" w:hAnsi="Arial"/>
      <w:szCs w:val="20"/>
    </w:rPr>
  </w:style>
  <w:style w:type="character" w:customStyle="1" w:styleId="En-tteCar">
    <w:name w:val="En-tête Car"/>
    <w:basedOn w:val="Policepardfaut"/>
    <w:link w:val="En-tte"/>
    <w:uiPriority w:val="99"/>
    <w:locked/>
    <w:rsid w:val="0053095A"/>
    <w:rPr>
      <w:rFonts w:ascii="Arial" w:hAnsi="Arial" w:cs="Times New Roman"/>
      <w:sz w:val="20"/>
      <w:szCs w:val="20"/>
      <w:lang w:eastAsia="fr-FR"/>
    </w:rPr>
  </w:style>
  <w:style w:type="paragraph" w:styleId="Corpsdetexte">
    <w:name w:val="Body Text"/>
    <w:basedOn w:val="Normal"/>
    <w:link w:val="CorpsdetexteCar"/>
    <w:uiPriority w:val="99"/>
    <w:rsid w:val="0053095A"/>
    <w:pPr>
      <w:spacing w:after="0" w:line="240" w:lineRule="auto"/>
    </w:pPr>
    <w:rPr>
      <w:rFonts w:ascii="Arial" w:hAnsi="Arial"/>
      <w:sz w:val="16"/>
      <w:szCs w:val="20"/>
      <w:u w:val="single"/>
    </w:rPr>
  </w:style>
  <w:style w:type="character" w:customStyle="1" w:styleId="CorpsdetexteCar">
    <w:name w:val="Corps de texte Car"/>
    <w:basedOn w:val="Policepardfaut"/>
    <w:link w:val="Corpsdetexte"/>
    <w:uiPriority w:val="99"/>
    <w:locked/>
    <w:rsid w:val="0053095A"/>
    <w:rPr>
      <w:rFonts w:ascii="Arial" w:hAnsi="Arial" w:cs="Times New Roman"/>
      <w:snapToGrid w:val="0"/>
      <w:sz w:val="20"/>
      <w:szCs w:val="20"/>
      <w:u w:val="single"/>
      <w:lang w:eastAsia="fr-FR"/>
    </w:rPr>
  </w:style>
  <w:style w:type="paragraph" w:customStyle="1" w:styleId="pv">
    <w:name w:val="pv"/>
    <w:basedOn w:val="Normal"/>
    <w:uiPriority w:val="99"/>
    <w:rsid w:val="0053095A"/>
    <w:pPr>
      <w:spacing w:after="240" w:line="240" w:lineRule="auto"/>
      <w:jc w:val="both"/>
    </w:pPr>
    <w:rPr>
      <w:rFonts w:ascii="Arial" w:hAnsi="Arial"/>
      <w:szCs w:val="20"/>
    </w:rPr>
  </w:style>
  <w:style w:type="paragraph" w:styleId="Textedebulles">
    <w:name w:val="Balloon Text"/>
    <w:basedOn w:val="Normal"/>
    <w:link w:val="TextedebullesCar"/>
    <w:uiPriority w:val="99"/>
    <w:semiHidden/>
    <w:rsid w:val="00955F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55F25"/>
    <w:rPr>
      <w:rFonts w:ascii="Tahoma" w:hAnsi="Tahoma" w:cs="Tahoma"/>
      <w:sz w:val="16"/>
      <w:szCs w:val="16"/>
    </w:rPr>
  </w:style>
  <w:style w:type="paragraph" w:styleId="Pieddepage">
    <w:name w:val="footer"/>
    <w:basedOn w:val="Normal"/>
    <w:link w:val="PieddepageCar"/>
    <w:uiPriority w:val="99"/>
    <w:rsid w:val="00346AEF"/>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346AEF"/>
    <w:rPr>
      <w:rFonts w:cs="Times New Roman"/>
    </w:rPr>
  </w:style>
  <w:style w:type="character" w:styleId="Lienhypertexte">
    <w:name w:val="Hyperlink"/>
    <w:basedOn w:val="Policepardfaut"/>
    <w:uiPriority w:val="99"/>
    <w:rsid w:val="00012825"/>
    <w:rPr>
      <w:rFonts w:cs="Times New Roman"/>
      <w:color w:val="0000FF"/>
      <w:u w:val="single"/>
    </w:rPr>
  </w:style>
  <w:style w:type="paragraph" w:styleId="Corpsdetexte2">
    <w:name w:val="Body Text 2"/>
    <w:basedOn w:val="Normal"/>
    <w:link w:val="Corpsdetexte2Car"/>
    <w:uiPriority w:val="99"/>
    <w:semiHidden/>
    <w:rsid w:val="006B2A55"/>
    <w:pPr>
      <w:spacing w:after="120" w:line="480" w:lineRule="auto"/>
    </w:pPr>
    <w:rPr>
      <w:lang w:eastAsia="en-US"/>
    </w:rPr>
  </w:style>
  <w:style w:type="character" w:customStyle="1" w:styleId="Corpsdetexte2Car">
    <w:name w:val="Corps de texte 2 Car"/>
    <w:basedOn w:val="Policepardfaut"/>
    <w:link w:val="Corpsdetexte2"/>
    <w:uiPriority w:val="99"/>
    <w:semiHidden/>
    <w:locked/>
    <w:rsid w:val="006B2A55"/>
    <w:rPr>
      <w:rFonts w:ascii="Calibri" w:hAnsi="Calibri" w:cs="Times New Roman"/>
      <w:lang w:eastAsia="en-US"/>
    </w:rPr>
  </w:style>
  <w:style w:type="paragraph" w:styleId="Commentaire">
    <w:name w:val="annotation text"/>
    <w:basedOn w:val="Normal"/>
    <w:link w:val="CommentaireCar"/>
    <w:uiPriority w:val="99"/>
    <w:semiHidden/>
    <w:rsid w:val="006B2A55"/>
    <w:pPr>
      <w:spacing w:after="0" w:line="240" w:lineRule="auto"/>
      <w:jc w:val="both"/>
    </w:pPr>
    <w:rPr>
      <w:rFonts w:ascii="Garamond" w:hAnsi="Garamond"/>
      <w:sz w:val="20"/>
      <w:szCs w:val="20"/>
    </w:rPr>
  </w:style>
  <w:style w:type="character" w:customStyle="1" w:styleId="CommentaireCar">
    <w:name w:val="Commentaire Car"/>
    <w:basedOn w:val="Policepardfaut"/>
    <w:link w:val="Commentaire"/>
    <w:uiPriority w:val="99"/>
    <w:semiHidden/>
    <w:locked/>
    <w:rsid w:val="006B2A55"/>
    <w:rPr>
      <w:rFonts w:ascii="Garamond" w:hAnsi="Garamond" w:cs="Times New Roman"/>
      <w:sz w:val="20"/>
      <w:szCs w:val="20"/>
    </w:rPr>
  </w:style>
  <w:style w:type="paragraph" w:customStyle="1" w:styleId="Default">
    <w:name w:val="Default"/>
    <w:rsid w:val="0006267B"/>
    <w:pPr>
      <w:autoSpaceDE w:val="0"/>
      <w:autoSpaceDN w:val="0"/>
      <w:adjustRightInd w:val="0"/>
    </w:pPr>
    <w:rPr>
      <w:rFonts w:ascii="Arial" w:hAnsi="Arial" w:cs="Arial"/>
      <w:color w:val="000000"/>
      <w:sz w:val="24"/>
      <w:szCs w:val="24"/>
      <w:lang w:val="fr-FR" w:eastAsia="fr-FR"/>
    </w:rPr>
  </w:style>
  <w:style w:type="character" w:styleId="Marquedecommentaire">
    <w:name w:val="annotation reference"/>
    <w:basedOn w:val="Policepardfaut"/>
    <w:uiPriority w:val="99"/>
    <w:semiHidden/>
    <w:rsid w:val="00E95721"/>
    <w:rPr>
      <w:rFonts w:cs="Times New Roman"/>
      <w:sz w:val="16"/>
      <w:szCs w:val="16"/>
    </w:rPr>
  </w:style>
  <w:style w:type="paragraph" w:styleId="Objetducommentaire">
    <w:name w:val="annotation subject"/>
    <w:basedOn w:val="Commentaire"/>
    <w:next w:val="Commentaire"/>
    <w:link w:val="ObjetducommentaireCar"/>
    <w:uiPriority w:val="99"/>
    <w:semiHidden/>
    <w:rsid w:val="00E95721"/>
    <w:pPr>
      <w:spacing w:after="200" w:line="276" w:lineRule="auto"/>
      <w:jc w:val="left"/>
    </w:pPr>
    <w:rPr>
      <w:rFonts w:ascii="Calibri" w:hAnsi="Calibri"/>
      <w:b/>
      <w:bCs/>
    </w:rPr>
  </w:style>
  <w:style w:type="character" w:customStyle="1" w:styleId="ObjetducommentaireCar">
    <w:name w:val="Objet du commentaire Car"/>
    <w:basedOn w:val="CommentaireCar"/>
    <w:link w:val="Objetducommentaire"/>
    <w:uiPriority w:val="99"/>
    <w:semiHidden/>
    <w:locked/>
    <w:rPr>
      <w:rFonts w:ascii="Garamond" w:hAnsi="Garamond" w:cs="Times New Roman"/>
      <w:b/>
      <w:bCs/>
      <w:sz w:val="20"/>
      <w:szCs w:val="20"/>
      <w:lang w:val="fr-FR" w:eastAsia="fr-FR"/>
    </w:rPr>
  </w:style>
  <w:style w:type="paragraph" w:customStyle="1" w:styleId="CelluleIntitul">
    <w:name w:val="Cellule Intitulé"/>
    <w:rsid w:val="00742DC5"/>
    <w:pPr>
      <w:widowControl w:val="0"/>
      <w:suppressAutoHyphens/>
      <w:autoSpaceDE w:val="0"/>
      <w:autoSpaceDN w:val="0"/>
      <w:adjustRightInd w:val="0"/>
      <w:spacing w:line="280" w:lineRule="atLeast"/>
      <w:jc w:val="center"/>
    </w:pPr>
    <w:rPr>
      <w:rFonts w:ascii="Times New Roman" w:eastAsia="Times New Roman" w:hAnsi="Times New Roman"/>
      <w:color w:val="000000"/>
      <w:w w:val="0"/>
      <w:sz w:val="24"/>
      <w:szCs w:val="24"/>
      <w:lang w:val="fr-FR" w:eastAsia="fr-FR"/>
    </w:rPr>
  </w:style>
  <w:style w:type="character" w:customStyle="1" w:styleId="Mentionnonrsolue1">
    <w:name w:val="Mention non résolue1"/>
    <w:basedOn w:val="Policepardfaut"/>
    <w:uiPriority w:val="99"/>
    <w:semiHidden/>
    <w:unhideWhenUsed/>
    <w:rsid w:val="003470E1"/>
    <w:rPr>
      <w:color w:val="605E5C"/>
      <w:shd w:val="clear" w:color="auto" w:fill="E1DFDD"/>
    </w:rPr>
  </w:style>
  <w:style w:type="character" w:customStyle="1" w:styleId="Titre1Car">
    <w:name w:val="Titre 1 Car"/>
    <w:basedOn w:val="Policepardfaut"/>
    <w:link w:val="Titre1"/>
    <w:uiPriority w:val="9"/>
    <w:rsid w:val="00B81D51"/>
    <w:rPr>
      <w:rFonts w:ascii="Book Antiqua" w:hAnsi="Book Antiqua"/>
      <w:b/>
      <w:color w:val="948A54"/>
      <w:sz w:val="32"/>
      <w:szCs w:val="32"/>
      <w:u w:val="single"/>
      <w:lang w:val="fr-FR" w:eastAsia="fr-FR"/>
    </w:rPr>
  </w:style>
  <w:style w:type="paragraph" w:styleId="NormalWeb">
    <w:name w:val="Normal (Web)"/>
    <w:basedOn w:val="Normal"/>
    <w:uiPriority w:val="99"/>
    <w:unhideWhenUsed/>
    <w:rsid w:val="007E6245"/>
    <w:pPr>
      <w:spacing w:before="100" w:beforeAutospacing="1" w:after="100" w:afterAutospacing="1" w:line="240" w:lineRule="auto"/>
    </w:pPr>
    <w:rPr>
      <w:rFonts w:ascii="Times New Roman" w:eastAsia="Times New Roman" w:hAnsi="Times New Roman"/>
      <w:sz w:val="24"/>
      <w:szCs w:val="24"/>
      <w:lang w:val="en-US" w:eastAsia="en-US"/>
    </w:rPr>
  </w:style>
  <w:style w:type="character" w:customStyle="1" w:styleId="Mentionnonrsolue10">
    <w:name w:val="Mention non résolue1"/>
    <w:basedOn w:val="Policepardfaut"/>
    <w:uiPriority w:val="99"/>
    <w:semiHidden/>
    <w:unhideWhenUsed/>
    <w:rsid w:val="007E6245"/>
    <w:rPr>
      <w:color w:val="605E5C"/>
      <w:shd w:val="clear" w:color="auto" w:fill="E1DFDD"/>
    </w:rPr>
  </w:style>
  <w:style w:type="paragraph" w:styleId="Notedebasdepage">
    <w:name w:val="footnote text"/>
    <w:basedOn w:val="Normal"/>
    <w:link w:val="NotedebasdepageCar"/>
    <w:uiPriority w:val="99"/>
    <w:semiHidden/>
    <w:unhideWhenUsed/>
    <w:rsid w:val="007E6245"/>
    <w:pPr>
      <w:spacing w:after="0" w:line="240" w:lineRule="auto"/>
    </w:pPr>
    <w:rPr>
      <w:rFonts w:asciiTheme="minorHAnsi" w:eastAsiaTheme="minorHAnsi" w:hAnsiTheme="minorHAnsi" w:cstheme="minorBidi"/>
      <w:sz w:val="20"/>
      <w:szCs w:val="20"/>
      <w:lang w:val="en-US" w:eastAsia="en-US"/>
    </w:rPr>
  </w:style>
  <w:style w:type="character" w:customStyle="1" w:styleId="NotedebasdepageCar">
    <w:name w:val="Note de bas de page Car"/>
    <w:basedOn w:val="Policepardfaut"/>
    <w:link w:val="Notedebasdepage"/>
    <w:uiPriority w:val="99"/>
    <w:semiHidden/>
    <w:rsid w:val="007E6245"/>
    <w:rPr>
      <w:rFonts w:asciiTheme="minorHAnsi" w:eastAsiaTheme="minorHAnsi" w:hAnsiTheme="minorHAnsi" w:cstheme="minorBidi"/>
      <w:sz w:val="20"/>
      <w:szCs w:val="20"/>
    </w:rPr>
  </w:style>
  <w:style w:type="character" w:styleId="Appelnotedebasdep">
    <w:name w:val="footnote reference"/>
    <w:basedOn w:val="Policepardfaut"/>
    <w:uiPriority w:val="99"/>
    <w:semiHidden/>
    <w:unhideWhenUsed/>
    <w:rsid w:val="007E6245"/>
    <w:rPr>
      <w:vertAlign w:val="superscript"/>
    </w:rPr>
  </w:style>
  <w:style w:type="paragraph" w:styleId="En-ttedetabledesmatires">
    <w:name w:val="TOC Heading"/>
    <w:basedOn w:val="Titre1"/>
    <w:next w:val="Normal"/>
    <w:uiPriority w:val="39"/>
    <w:unhideWhenUsed/>
    <w:qFormat/>
    <w:rsid w:val="007E6245"/>
    <w:pPr>
      <w:outlineLvl w:val="9"/>
    </w:pPr>
  </w:style>
  <w:style w:type="paragraph" w:styleId="Sous-titre">
    <w:name w:val="Subtitle"/>
    <w:basedOn w:val="Normal"/>
    <w:next w:val="Normal"/>
    <w:link w:val="Sous-titreCar"/>
    <w:qFormat/>
    <w:locked/>
    <w:rsid w:val="00DB774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rsid w:val="00DB7747"/>
    <w:rPr>
      <w:rFonts w:asciiTheme="minorHAnsi" w:eastAsiaTheme="minorEastAsia" w:hAnsiTheme="minorHAnsi" w:cstheme="minorBidi"/>
      <w:color w:val="5A5A5A" w:themeColor="text1" w:themeTint="A5"/>
      <w:spacing w:val="15"/>
      <w:lang w:val="fr-FR" w:eastAsia="fr-FR"/>
    </w:rPr>
  </w:style>
  <w:style w:type="character" w:styleId="lev">
    <w:name w:val="Strong"/>
    <w:basedOn w:val="Policepardfaut"/>
    <w:qFormat/>
    <w:locked/>
    <w:rsid w:val="00DB7747"/>
    <w:rPr>
      <w:b/>
      <w:bCs/>
    </w:rPr>
  </w:style>
  <w:style w:type="paragraph" w:styleId="TM1">
    <w:name w:val="toc 1"/>
    <w:basedOn w:val="Normal"/>
    <w:next w:val="Normal"/>
    <w:autoRedefine/>
    <w:uiPriority w:val="39"/>
    <w:locked/>
    <w:rsid w:val="00C73150"/>
    <w:pPr>
      <w:tabs>
        <w:tab w:val="left" w:pos="851"/>
        <w:tab w:val="right" w:leader="dot" w:pos="9742"/>
      </w:tabs>
      <w:spacing w:after="100"/>
      <w:ind w:left="426" w:hanging="426"/>
    </w:pPr>
    <w:rPr>
      <w:rFonts w:ascii="Book Antiqua" w:hAnsi="Book Antiqua"/>
      <w:noProof/>
      <w:color w:val="948A54"/>
    </w:rPr>
  </w:style>
  <w:style w:type="paragraph" w:styleId="TM2">
    <w:name w:val="toc 2"/>
    <w:basedOn w:val="Normal"/>
    <w:next w:val="Normal"/>
    <w:autoRedefine/>
    <w:uiPriority w:val="39"/>
    <w:locked/>
    <w:rsid w:val="00EA00ED"/>
    <w:pPr>
      <w:tabs>
        <w:tab w:val="left" w:pos="880"/>
        <w:tab w:val="right" w:leader="dot" w:pos="9742"/>
      </w:tabs>
      <w:spacing w:after="100"/>
      <w:ind w:left="851" w:hanging="4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90359">
      <w:bodyDiv w:val="1"/>
      <w:marLeft w:val="0"/>
      <w:marRight w:val="0"/>
      <w:marTop w:val="0"/>
      <w:marBottom w:val="0"/>
      <w:divBdr>
        <w:top w:val="none" w:sz="0" w:space="0" w:color="auto"/>
        <w:left w:val="none" w:sz="0" w:space="0" w:color="auto"/>
        <w:bottom w:val="none" w:sz="0" w:space="0" w:color="auto"/>
        <w:right w:val="none" w:sz="0" w:space="0" w:color="auto"/>
      </w:divBdr>
    </w:div>
    <w:div w:id="1473211245">
      <w:marLeft w:val="0"/>
      <w:marRight w:val="0"/>
      <w:marTop w:val="0"/>
      <w:marBottom w:val="0"/>
      <w:divBdr>
        <w:top w:val="none" w:sz="0" w:space="0" w:color="auto"/>
        <w:left w:val="none" w:sz="0" w:space="0" w:color="auto"/>
        <w:bottom w:val="none" w:sz="0" w:space="0" w:color="auto"/>
        <w:right w:val="none" w:sz="0" w:space="0" w:color="auto"/>
      </w:divBdr>
    </w:div>
    <w:div w:id="178044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trecento-am.com/notre-engagement-isr-esg/" TargetMode="Externa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hyperlink" Target="http://www.trecento-am.com/notre-engagement-isr-esg/" TargetMode="External"/><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ecento-am.com/notre-engagement-isr-es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oter" Target="footer1.xml"/><Relationship Id="rId10" Type="http://schemas.openxmlformats.org/officeDocument/2006/relationships/hyperlink" Target="http://www.trecento-am.com/notre-engagement-isr-esg/" TargetMode="Externa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yperlink" Target="http://www.trecento-am.com/" TargetMode="External"/><Relationship Id="rId14" Type="http://schemas.openxmlformats.org/officeDocument/2006/relationships/hyperlink" Target="http://www.trecento-am.com/notre-engagement-isr-esg/" TargetMode="External"/><Relationship Id="rId22" Type="http://schemas.openxmlformats.org/officeDocument/2006/relationships/hyperlink" Target="mailto:contact@trecento-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7E980-9ADB-4028-8277-3FCC7E74A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14</Pages>
  <Words>2800</Words>
  <Characters>16733</Characters>
  <Application>Microsoft Office Word</Application>
  <DocSecurity>0</DocSecurity>
  <Lines>139</Lines>
  <Paragraphs>38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Trecento AM - Reporting performance ESG et Climat</dc:title>
  <dc:creator>Christophe POUCHOY</dc:creator>
  <cp:lastModifiedBy>Matthieu De Changy</cp:lastModifiedBy>
  <cp:revision>93</cp:revision>
  <cp:lastPrinted>2022-02-08T17:20:00Z</cp:lastPrinted>
  <dcterms:created xsi:type="dcterms:W3CDTF">2020-02-19T17:40:00Z</dcterms:created>
  <dcterms:modified xsi:type="dcterms:W3CDTF">2022-09-28T09:28:00Z</dcterms:modified>
</cp:coreProperties>
</file>